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0327" w14:textId="77777777" w:rsidR="00F25BDD" w:rsidRPr="006C2D95" w:rsidRDefault="00F25BDD" w:rsidP="00154084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Утверждено</w:t>
      </w:r>
    </w:p>
    <w:p w14:paraId="1EF19443" w14:textId="670AFF54" w:rsidR="00F25BDD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Решение</w:t>
      </w:r>
      <w:r w:rsidR="0006611E">
        <w:rPr>
          <w:rFonts w:ascii="Times New Roman" w:eastAsia="Times New Roman" w:hAnsi="Times New Roman"/>
          <w:sz w:val="24"/>
          <w:szCs w:val="24"/>
          <w:lang w:eastAsia="ar-SA"/>
        </w:rPr>
        <w:t>м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Совета депутатов</w:t>
      </w:r>
    </w:p>
    <w:p w14:paraId="63ECBD6B" w14:textId="6C67F818" w:rsidR="00256F65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Мичуринско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 xml:space="preserve">го </w:t>
      </w:r>
      <w:r w:rsidR="00256F65" w:rsidRPr="006C2D95">
        <w:rPr>
          <w:rFonts w:ascii="Times New Roman" w:eastAsia="Times New Roman" w:hAnsi="Times New Roman"/>
          <w:sz w:val="24"/>
          <w:szCs w:val="24"/>
          <w:lang w:eastAsia="ar-SA"/>
        </w:rPr>
        <w:t>сельско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="00256F65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поселени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я</w:t>
      </w:r>
    </w:p>
    <w:p w14:paraId="0C2BA231" w14:textId="337EF46D" w:rsidR="00256F65" w:rsidRPr="006C2D95" w:rsidRDefault="000D1E11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Приозерск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</w:p>
    <w:p w14:paraId="00F9EFFF" w14:textId="2873CDF8" w:rsidR="00F25BDD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</w:t>
      </w:r>
    </w:p>
    <w:p w14:paraId="0F78B3F9" w14:textId="5CB1D70B" w:rsidR="00F25BDD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от</w:t>
      </w:r>
      <w:r w:rsidR="009957C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50CBE">
        <w:rPr>
          <w:rFonts w:ascii="Times New Roman" w:eastAsia="Times New Roman" w:hAnsi="Times New Roman"/>
          <w:sz w:val="24"/>
          <w:szCs w:val="24"/>
          <w:lang w:eastAsia="ar-SA"/>
        </w:rPr>
        <w:t>06.03.2026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г</w:t>
      </w:r>
      <w:r w:rsidR="00850CB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№</w:t>
      </w:r>
      <w:r w:rsidR="009957C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50CBE">
        <w:rPr>
          <w:rFonts w:ascii="Times New Roman" w:eastAsia="Times New Roman" w:hAnsi="Times New Roman"/>
          <w:sz w:val="24"/>
          <w:szCs w:val="24"/>
          <w:lang w:eastAsia="ar-SA"/>
        </w:rPr>
        <w:t>95</w:t>
      </w:r>
    </w:p>
    <w:p w14:paraId="249D22FD" w14:textId="51918BC6" w:rsidR="00F25BDD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Приложение № </w:t>
      </w:r>
      <w:r w:rsidR="00256F65" w:rsidRPr="006C2D95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545C28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14:paraId="3B54067C" w14:textId="77777777" w:rsidR="00F25BDD" w:rsidRPr="006C2D95" w:rsidRDefault="00F25BDD" w:rsidP="00F25BDD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1899894" w14:textId="77777777" w:rsidR="00F25BDD" w:rsidRPr="006C2D95" w:rsidRDefault="00F25BDD" w:rsidP="00F25BD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6AF3989" w14:textId="04E8C350" w:rsidR="00F25BDD" w:rsidRPr="0070490B" w:rsidRDefault="00F25BDD" w:rsidP="00154084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>ПОРЯДОК</w:t>
      </w:r>
      <w:r w:rsidR="00256F65" w:rsidRPr="0070490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3ED73FC5" w14:textId="77777777" w:rsidR="0042196B" w:rsidRPr="0042196B" w:rsidRDefault="0042196B" w:rsidP="004219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196B">
        <w:rPr>
          <w:rFonts w:ascii="Times New Roman" w:eastAsia="Times New Roman" w:hAnsi="Times New Roman"/>
          <w:b/>
          <w:sz w:val="24"/>
          <w:szCs w:val="24"/>
          <w:lang w:eastAsia="ar-SA"/>
        </w:rPr>
        <w:t>предоставления межбюджетных трансфертов на осуществление функции</w:t>
      </w:r>
    </w:p>
    <w:p w14:paraId="17703C13" w14:textId="79239ED7" w:rsidR="0006611E" w:rsidRDefault="0042196B" w:rsidP="004219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196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администрации поселения </w:t>
      </w:r>
    </w:p>
    <w:p w14:paraId="62B65091" w14:textId="0A270ED2" w:rsidR="0042196B" w:rsidRPr="0042196B" w:rsidRDefault="0042196B" w:rsidP="004219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196B">
        <w:rPr>
          <w:rFonts w:ascii="Times New Roman" w:eastAsia="Times New Roman" w:hAnsi="Times New Roman"/>
          <w:b/>
          <w:sz w:val="24"/>
          <w:szCs w:val="24"/>
          <w:lang w:eastAsia="ar-SA"/>
        </w:rPr>
        <w:t>по осуществлени</w:t>
      </w:r>
      <w:r w:rsidR="0006611E">
        <w:rPr>
          <w:rFonts w:ascii="Times New Roman" w:eastAsia="Times New Roman" w:hAnsi="Times New Roman"/>
          <w:b/>
          <w:sz w:val="24"/>
          <w:szCs w:val="24"/>
          <w:lang w:eastAsia="ar-SA"/>
        </w:rPr>
        <w:t>ю</w:t>
      </w:r>
      <w:r w:rsidRPr="0042196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внешнего муниципального</w:t>
      </w:r>
    </w:p>
    <w:p w14:paraId="073DA904" w14:textId="5FBFE709" w:rsidR="0042196B" w:rsidRPr="0042196B" w:rsidRDefault="0042196B" w:rsidP="0042196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196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финансового контроля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Мичуринского</w:t>
      </w:r>
      <w:r w:rsidRPr="0042196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сельского поселения в</w:t>
      </w:r>
    </w:p>
    <w:p w14:paraId="77FA7459" w14:textId="31DAC4BE" w:rsidR="00F25BDD" w:rsidRPr="006C2D95" w:rsidRDefault="0042196B" w:rsidP="0042196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196B">
        <w:rPr>
          <w:rFonts w:ascii="Times New Roman" w:eastAsia="Times New Roman" w:hAnsi="Times New Roman"/>
          <w:b/>
          <w:sz w:val="24"/>
          <w:szCs w:val="24"/>
          <w:lang w:eastAsia="ar-SA"/>
        </w:rPr>
        <w:t>соответствии с заключенным соглашением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на 2026 год</w:t>
      </w:r>
      <w:r w:rsidRPr="0042196B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14:paraId="5E4E803A" w14:textId="77777777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1. Настоящий Порядок разработан в соответствии со статьей 15 п.4 закона Российской Федерации от 6 октября 2003 года N 131-фз "Об общих принципах организации местного самоуправления в Российской Федерации".</w:t>
      </w:r>
    </w:p>
    <w:p w14:paraId="049A21B1" w14:textId="461E3FC7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2. Настоящий Порядок устанавливает правила и условия финансового обеспечения межбюджетных трансфертов, осуществляемых за счет средств бюджета Мичуринско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поселени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на осуществление внешнего муниципального финансового контроля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Мичуринско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сельско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поселени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Приозерск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5739CA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 (далее - поселения).</w:t>
      </w:r>
    </w:p>
    <w:p w14:paraId="280B3701" w14:textId="18121BE2" w:rsidR="00F25BDD" w:rsidRPr="006C2D95" w:rsidRDefault="00154084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3. </w:t>
      </w:r>
      <w:r w:rsidR="00F25BDD" w:rsidRPr="006C2D95">
        <w:rPr>
          <w:rFonts w:ascii="Times New Roman" w:eastAsia="Times New Roman" w:hAnsi="Times New Roman"/>
          <w:sz w:val="24"/>
          <w:szCs w:val="24"/>
          <w:lang w:eastAsia="ar-SA"/>
        </w:rPr>
        <w:t>Предоставление межбюджетных трансфертов бюджету Приозерск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="00F25BDD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="00F25BDD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F25BDD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 на осуществление внешнего муниципального финансового контроля поселения осуществляется администрацией поселения в объеме средств, предусмотренных решением о бюджете на соответствующий финансовый год.</w:t>
      </w:r>
    </w:p>
    <w:p w14:paraId="5149E193" w14:textId="2876B996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4.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Межбюджетные трансферты на осуществление внешнего муниципального финансового контроля поселения предоставляются контрольно-счетному органу Приозерск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 в соответствии со сводной бюджетной росписью, </w:t>
      </w:r>
      <w:r w:rsidR="003229C2" w:rsidRPr="006C2D95">
        <w:rPr>
          <w:rFonts w:ascii="Times New Roman" w:hAnsi="Times New Roman"/>
          <w:sz w:val="24"/>
          <w:szCs w:val="24"/>
        </w:rPr>
        <w:t xml:space="preserve">ежеквартально в равных долях от годовых назначений, до </w:t>
      </w:r>
      <w:r w:rsidR="0033387E" w:rsidRPr="006C2D95">
        <w:rPr>
          <w:rFonts w:ascii="Times New Roman" w:hAnsi="Times New Roman"/>
          <w:sz w:val="24"/>
          <w:szCs w:val="24"/>
        </w:rPr>
        <w:t>3</w:t>
      </w:r>
      <w:r w:rsidR="003229C2" w:rsidRPr="006C2D95">
        <w:rPr>
          <w:rFonts w:ascii="Times New Roman" w:hAnsi="Times New Roman"/>
          <w:sz w:val="24"/>
          <w:szCs w:val="24"/>
        </w:rPr>
        <w:t>0-го числа первого месяца квартала. Допускается авансовое предоставление платежей.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Межбюджетные трансферты на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осуществление внешнего муниципального финансового контроля поселения перечисляются на лицевой счет, открытый в территориальном отделении Управления Федерального казначейства по Ленинградской области контрольно-счетному органу.</w:t>
      </w:r>
    </w:p>
    <w:p w14:paraId="1A5FB7CB" w14:textId="77777777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5.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Перечисление межбюджетных трансфертов на осуществление внешнего муниципального финансового контроля поселения по решению вопросов местного значения осуществляется в сроки, установленные в п.4.</w:t>
      </w:r>
    </w:p>
    <w:p w14:paraId="651AB618" w14:textId="3CB2B28C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6.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Размер межбюджетных трансфертов на осуществление внешнего муниципального финансового контроля поселения, выделяемых Приозерск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ому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ому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B53203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области, финансовые (уполномоченные) органы местного самоуправления которых осуществляют переданное им отдельное полномочие, рассчитывается по следующей формуле:</w:t>
      </w:r>
    </w:p>
    <w:p w14:paraId="1B1EA7E1" w14:textId="77777777" w:rsidR="003229C2" w:rsidRPr="006C2D95" w:rsidRDefault="003229C2" w:rsidP="003229C2">
      <w:pPr>
        <w:spacing w:line="36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Рмб = ФОТ х Уч/100+ Тек.Р,</w:t>
      </w:r>
    </w:p>
    <w:p w14:paraId="021B1E16" w14:textId="77777777" w:rsidR="003229C2" w:rsidRPr="006C2D95" w:rsidRDefault="003229C2" w:rsidP="003229C2">
      <w:pPr>
        <w:spacing w:after="0" w:line="360" w:lineRule="auto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где:</w:t>
      </w:r>
    </w:p>
    <w:p w14:paraId="655DE012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ФОТ – годовой фонд оплаты труда главного специалиста, руб.;</w:t>
      </w:r>
    </w:p>
    <w:p w14:paraId="5D6A0794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lastRenderedPageBreak/>
        <w:t>Уч – удельный вес численности населения каждого конкретного муниципального образования, %.</w:t>
      </w:r>
    </w:p>
    <w:p w14:paraId="47B19EF8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Удельный вес численности населения рассчитывается по формуле:</w:t>
      </w:r>
    </w:p>
    <w:p w14:paraId="042C60A5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Уч = Ч</w:t>
      </w:r>
      <w:r w:rsidRPr="006C2D95">
        <w:rPr>
          <w:rFonts w:ascii="Times New Roman" w:hAnsi="Times New Roman"/>
          <w:snapToGrid w:val="0"/>
          <w:sz w:val="24"/>
          <w:szCs w:val="24"/>
          <w:lang w:val="en-US"/>
        </w:rPr>
        <w:t>i</w:t>
      </w:r>
      <w:r w:rsidRPr="006C2D95">
        <w:rPr>
          <w:rFonts w:ascii="Times New Roman" w:hAnsi="Times New Roman"/>
          <w:snapToGrid w:val="0"/>
          <w:sz w:val="24"/>
          <w:szCs w:val="24"/>
        </w:rPr>
        <w:t xml:space="preserve"> х 100/Ч</w:t>
      </w:r>
    </w:p>
    <w:p w14:paraId="35845789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где:</w:t>
      </w:r>
    </w:p>
    <w:p w14:paraId="311EE216" w14:textId="6836B305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>Ч</w:t>
      </w:r>
      <w:r w:rsidRPr="006C2D95">
        <w:rPr>
          <w:rFonts w:ascii="Times New Roman" w:hAnsi="Times New Roman"/>
          <w:snapToGrid w:val="0"/>
          <w:sz w:val="24"/>
          <w:szCs w:val="24"/>
          <w:lang w:val="en-US"/>
        </w:rPr>
        <w:t>i</w:t>
      </w:r>
      <w:r w:rsidRPr="006C2D95">
        <w:rPr>
          <w:rFonts w:ascii="Times New Roman" w:hAnsi="Times New Roman"/>
          <w:snapToGrid w:val="0"/>
          <w:sz w:val="24"/>
          <w:szCs w:val="24"/>
        </w:rPr>
        <w:t xml:space="preserve"> – численность населения посе</w:t>
      </w:r>
      <w:r w:rsidR="009957CF">
        <w:rPr>
          <w:rFonts w:ascii="Times New Roman" w:hAnsi="Times New Roman"/>
          <w:snapToGrid w:val="0"/>
          <w:sz w:val="24"/>
          <w:szCs w:val="24"/>
        </w:rPr>
        <w:t>ле</w:t>
      </w:r>
      <w:r w:rsidRPr="006C2D95">
        <w:rPr>
          <w:rFonts w:ascii="Times New Roman" w:hAnsi="Times New Roman"/>
          <w:snapToGrid w:val="0"/>
          <w:sz w:val="24"/>
          <w:szCs w:val="24"/>
        </w:rPr>
        <w:t>ния, чел.;</w:t>
      </w:r>
    </w:p>
    <w:p w14:paraId="08D42C21" w14:textId="77777777" w:rsidR="003229C2" w:rsidRPr="006C2D95" w:rsidRDefault="003229C2" w:rsidP="003229C2">
      <w:pPr>
        <w:spacing w:after="0"/>
        <w:ind w:firstLine="539"/>
        <w:jc w:val="both"/>
        <w:rPr>
          <w:rFonts w:ascii="Times New Roman" w:hAnsi="Times New Roman"/>
          <w:snapToGrid w:val="0"/>
          <w:sz w:val="24"/>
          <w:szCs w:val="24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 xml:space="preserve">Ч – численность населения всего по всем поселениям по данным Петростата, чел. </w:t>
      </w:r>
    </w:p>
    <w:p w14:paraId="373F0D03" w14:textId="77777777" w:rsidR="0033387E" w:rsidRPr="006C2D95" w:rsidRDefault="003229C2" w:rsidP="0033387E">
      <w:pPr>
        <w:widowControl w:val="0"/>
        <w:shd w:val="clear" w:color="auto" w:fill="FFFFFF"/>
        <w:suppressAutoHyphens/>
        <w:autoSpaceDE w:val="0"/>
        <w:spacing w:before="5" w:after="0" w:line="322" w:lineRule="exact"/>
        <w:ind w:left="544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r w:rsidRPr="006C2D95">
        <w:rPr>
          <w:rFonts w:ascii="Times New Roman" w:hAnsi="Times New Roman"/>
          <w:snapToGrid w:val="0"/>
          <w:sz w:val="24"/>
          <w:szCs w:val="24"/>
        </w:rPr>
        <w:t xml:space="preserve">Тек.Р - </w:t>
      </w:r>
      <w:r w:rsidRPr="006C2D95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расходы на организацию исполнения </w:t>
      </w:r>
      <w:r w:rsidRPr="006C2D95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части полномочий поселений по осуществлению внешнего муниципального финансового контроля</w:t>
      </w:r>
      <w:r w:rsidR="0033387E" w:rsidRPr="006C2D95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. Рассчитываются следующим образом:</w:t>
      </w:r>
    </w:p>
    <w:p w14:paraId="4EADA210" w14:textId="478C7F7F" w:rsidR="003229C2" w:rsidRPr="006C2D95" w:rsidRDefault="003229C2" w:rsidP="003229C2">
      <w:pPr>
        <w:widowControl w:val="0"/>
        <w:shd w:val="clear" w:color="auto" w:fill="FFFFFF"/>
        <w:suppressAutoHyphens/>
        <w:autoSpaceDE w:val="0"/>
        <w:spacing w:before="5" w:line="322" w:lineRule="exact"/>
        <w:ind w:left="542"/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</w:pPr>
      <w:r w:rsidRPr="006C2D95">
        <w:rPr>
          <w:rFonts w:ascii="Times New Roman" w:hAnsi="Times New Roman"/>
          <w:bCs/>
          <w:sz w:val="24"/>
          <w:szCs w:val="24"/>
        </w:rPr>
        <w:t>Тек.Р=</w:t>
      </w:r>
      <w:r w:rsidRPr="006C2D95">
        <w:rPr>
          <w:rFonts w:ascii="Times New Roman" w:hAnsi="Times New Roman"/>
          <w:snapToGrid w:val="0"/>
          <w:sz w:val="24"/>
          <w:szCs w:val="24"/>
        </w:rPr>
        <w:t xml:space="preserve"> ФОТ х </w:t>
      </w:r>
      <w:r w:rsidR="0033387E" w:rsidRPr="006C2D95">
        <w:rPr>
          <w:rFonts w:ascii="Times New Roman" w:hAnsi="Times New Roman"/>
          <w:snapToGrid w:val="0"/>
          <w:sz w:val="24"/>
          <w:szCs w:val="24"/>
        </w:rPr>
        <w:t>6%</w:t>
      </w:r>
    </w:p>
    <w:p w14:paraId="7B9E7BAD" w14:textId="0512930F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7.</w:t>
      </w:r>
      <w:r w:rsidR="00154084"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Размер межбюджетных трансфертов на осуществление внешнего муниципального финансового контроля поселения, выделяемый Приозерск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ому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ому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области, может быть изменен не чаще чем один раз в квартал в расчете на следующий квартал в условиях корректировки показателей ФОТ</w:t>
      </w:r>
      <w:r w:rsidR="0033387E" w:rsidRPr="006C2D95">
        <w:rPr>
          <w:rFonts w:ascii="Times New Roman" w:eastAsia="Times New Roman" w:hAnsi="Times New Roman"/>
          <w:sz w:val="24"/>
          <w:szCs w:val="24"/>
          <w:lang w:eastAsia="ar-SA"/>
        </w:rPr>
        <w:t>, Уч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. Размер межбюджетных трансфертов на осуществление внешнего муниципального финансового контроля  за год может быть изменен при условии внесения соответствующего изменения в решение о бюджете.</w:t>
      </w:r>
    </w:p>
    <w:p w14:paraId="09FB99F5" w14:textId="5742EF98" w:rsidR="00F25BDD" w:rsidRPr="006C2D95" w:rsidRDefault="00F25BDD" w:rsidP="00154084">
      <w:pPr>
        <w:suppressAutoHyphens/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8. Комитет финансов Приозерск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ого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</w:t>
      </w:r>
      <w:r w:rsidR="005A3620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 xml:space="preserve"> Ленинградской области ведет учет расходов полученных межбюджетных трансфертов в соответствии с бюджетной классификацией Российской Федерации по разделу 0100 "Общегосударственные </w:t>
      </w:r>
      <w:r w:rsidR="006C2D95" w:rsidRPr="006C2D95">
        <w:rPr>
          <w:rFonts w:ascii="Times New Roman" w:eastAsia="Times New Roman" w:hAnsi="Times New Roman"/>
          <w:sz w:val="24"/>
          <w:szCs w:val="24"/>
          <w:lang w:eastAsia="ar-SA"/>
        </w:rPr>
        <w:t>вопросы</w:t>
      </w:r>
      <w:r w:rsidRPr="006C2D95">
        <w:rPr>
          <w:rFonts w:ascii="Times New Roman" w:eastAsia="Times New Roman" w:hAnsi="Times New Roman"/>
          <w:sz w:val="24"/>
          <w:szCs w:val="24"/>
          <w:lang w:eastAsia="ar-SA"/>
        </w:rPr>
        <w:t>".</w:t>
      </w:r>
    </w:p>
    <w:p w14:paraId="6601F17D" w14:textId="67A22FC1" w:rsidR="00165275" w:rsidRDefault="00165275"/>
    <w:sectPr w:rsidR="00165275" w:rsidSect="0069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2AF8"/>
    <w:rsid w:val="0006611E"/>
    <w:rsid w:val="00080106"/>
    <w:rsid w:val="000B18C3"/>
    <w:rsid w:val="000C6EB6"/>
    <w:rsid w:val="000D1E11"/>
    <w:rsid w:val="00154084"/>
    <w:rsid w:val="00165275"/>
    <w:rsid w:val="00256F65"/>
    <w:rsid w:val="002F2AF8"/>
    <w:rsid w:val="003229C2"/>
    <w:rsid w:val="0033387E"/>
    <w:rsid w:val="00383DDE"/>
    <w:rsid w:val="003A0982"/>
    <w:rsid w:val="003C683C"/>
    <w:rsid w:val="0042196B"/>
    <w:rsid w:val="00545C28"/>
    <w:rsid w:val="00570EAC"/>
    <w:rsid w:val="005739CA"/>
    <w:rsid w:val="005A3620"/>
    <w:rsid w:val="00691918"/>
    <w:rsid w:val="006C2D95"/>
    <w:rsid w:val="006E46E8"/>
    <w:rsid w:val="0070490B"/>
    <w:rsid w:val="007C74C8"/>
    <w:rsid w:val="007D4349"/>
    <w:rsid w:val="00850CBE"/>
    <w:rsid w:val="008B3441"/>
    <w:rsid w:val="00904870"/>
    <w:rsid w:val="009957CF"/>
    <w:rsid w:val="009D0559"/>
    <w:rsid w:val="00A7038C"/>
    <w:rsid w:val="00A73E8D"/>
    <w:rsid w:val="00AB57DC"/>
    <w:rsid w:val="00AF27EF"/>
    <w:rsid w:val="00B22A0C"/>
    <w:rsid w:val="00B53203"/>
    <w:rsid w:val="00B6441D"/>
    <w:rsid w:val="00B8405D"/>
    <w:rsid w:val="00BE1A44"/>
    <w:rsid w:val="00CC6CDC"/>
    <w:rsid w:val="00CF4B16"/>
    <w:rsid w:val="00D71ED9"/>
    <w:rsid w:val="00DF0645"/>
    <w:rsid w:val="00E25768"/>
    <w:rsid w:val="00E671CF"/>
    <w:rsid w:val="00EF1255"/>
    <w:rsid w:val="00EF529E"/>
    <w:rsid w:val="00F25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1411"/>
  <w15:docId w15:val="{30953CFB-739A-48E1-9F58-FFE655FB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B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15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154084"/>
    <w:rPr>
      <w:rFonts w:ascii="Tahoma" w:eastAsia="Calibri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D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E11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9D0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Екатерина Аринова</cp:lastModifiedBy>
  <cp:revision>35</cp:revision>
  <cp:lastPrinted>2025-12-26T08:45:00Z</cp:lastPrinted>
  <dcterms:created xsi:type="dcterms:W3CDTF">2018-12-20T14:18:00Z</dcterms:created>
  <dcterms:modified xsi:type="dcterms:W3CDTF">2026-03-12T08:53:00Z</dcterms:modified>
</cp:coreProperties>
</file>