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DA22" w14:textId="77777777" w:rsidR="000A1819" w:rsidRPr="000A1819" w:rsidRDefault="000A1819" w:rsidP="000A1819">
      <w:pPr>
        <w:suppressAutoHyphens/>
        <w:spacing w:after="0"/>
        <w:jc w:val="center"/>
        <w:rPr>
          <w:rFonts w:eastAsia="Times New Roman" w:cs="Times New Roman"/>
          <w:b/>
          <w:kern w:val="0"/>
          <w:szCs w:val="28"/>
          <w:lang w:eastAsia="ar-SA"/>
          <w14:ligatures w14:val="none"/>
        </w:rPr>
      </w:pPr>
    </w:p>
    <w:p w14:paraId="15153E58" w14:textId="77777777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A1D7CE" wp14:editId="70E0B999">
            <wp:extent cx="476250" cy="600075"/>
            <wp:effectExtent l="0" t="0" r="0" b="9525"/>
            <wp:docPr id="192207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57056" w14:textId="6F05E42B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AB38030" w14:textId="58BEFC94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МИЧУРИНСК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СЕЛЬСКО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ГО</w:t>
      </w: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ПОСЕЛЕНИ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Я</w:t>
      </w:r>
    </w:p>
    <w:p w14:paraId="442C7A3B" w14:textId="77777777" w:rsidR="00947BAF" w:rsidRDefault="000A1819" w:rsidP="000A181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ПРИОЗЕРСК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РАЙОН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</w:p>
    <w:p w14:paraId="1811ED3A" w14:textId="0AFDC2F2" w:rsidR="000A1819" w:rsidRPr="000A1819" w:rsidRDefault="000A1819" w:rsidP="000A181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ЛЕНИНГРАДСКОЙ ОБЛАСТИ</w:t>
      </w:r>
    </w:p>
    <w:p w14:paraId="02C67C80" w14:textId="77777777" w:rsidR="000A1819" w:rsidRPr="00AE10EA" w:rsidRDefault="000A1819" w:rsidP="000A1819">
      <w:pPr>
        <w:spacing w:after="0"/>
        <w:jc w:val="center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9D2519E" w14:textId="77777777" w:rsidR="007C0D3C" w:rsidRDefault="000A1819" w:rsidP="007C0D3C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 О С Т А Н О В Л Е Н И </w:t>
      </w:r>
      <w:r w:rsidR="007C0D3C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</w:p>
    <w:p w14:paraId="2FC38948" w14:textId="77777777" w:rsidR="007C0D3C" w:rsidRDefault="007C0D3C" w:rsidP="007C0D3C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CB19CB" w14:textId="35E71361" w:rsidR="00CD11AD" w:rsidRPr="007C0D3C" w:rsidRDefault="007C0D3C" w:rsidP="007C0D3C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ar-SA"/>
          <w14:ligatures w14:val="none"/>
        </w:rPr>
        <w:t>12 февраля 2025 года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</w:t>
      </w: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     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№</w:t>
      </w:r>
      <w:r w:rsidR="00C417AA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М-1</w:t>
      </w:r>
    </w:p>
    <w:p w14:paraId="5D55333A" w14:textId="77777777" w:rsidR="000A1819" w:rsidRPr="00D22944" w:rsidRDefault="000A1819" w:rsidP="000A1819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1"/>
      </w:tblGrid>
      <w:tr w:rsidR="000A1819" w:rsidRPr="000A1819" w14:paraId="6249CF73" w14:textId="77777777" w:rsidTr="001D336F">
        <w:trPr>
          <w:trHeight w:val="1038"/>
        </w:trPr>
        <w:tc>
          <w:tcPr>
            <w:tcW w:w="4841" w:type="dxa"/>
            <w:shd w:val="clear" w:color="auto" w:fill="auto"/>
          </w:tcPr>
          <w:p w14:paraId="42ECB5D0" w14:textId="2240BD91" w:rsidR="000A1819" w:rsidRDefault="00871FA6" w:rsidP="00A03446">
            <w:pPr>
              <w:spacing w:after="240"/>
              <w:jc w:val="both"/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Об у</w:t>
            </w:r>
            <w:r w:rsidR="00926F19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тверждении положения о контрактном управляющем</w:t>
            </w:r>
            <w:r w:rsidR="001D4673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="007C0D3C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подведомственн</w:t>
            </w:r>
            <w:r w:rsidR="002B2FEE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ый</w:t>
            </w:r>
            <w:r w:rsidR="007C0D3C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организаци</w:t>
            </w:r>
            <w:r w:rsidR="002B2FEE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й</w:t>
            </w:r>
            <w:r w:rsidR="007C0D3C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Администрации Мичуринского сельского поселения Приозерск5ого муниципального района Ленинградской области.</w:t>
            </w:r>
          </w:p>
          <w:p w14:paraId="289B20E6" w14:textId="437B14DF" w:rsidR="00926F19" w:rsidRPr="00AE10EA" w:rsidRDefault="00926F19" w:rsidP="00926F19">
            <w:pPr>
              <w:spacing w:after="240"/>
              <w:jc w:val="both"/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926F19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                </w:t>
            </w:r>
          </w:p>
        </w:tc>
      </w:tr>
    </w:tbl>
    <w:p w14:paraId="5C9D4593" w14:textId="77777777" w:rsidR="00926F19" w:rsidRDefault="00926F19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16"/>
          <w:szCs w:val="16"/>
          <w:lang w:val="x-none" w:eastAsia="x-none"/>
          <w14:ligatures w14:val="none"/>
        </w:rPr>
      </w:pPr>
      <w:bookmarkStart w:id="0" w:name="_Hlk195704318"/>
      <w:bookmarkStart w:id="1" w:name="_Hlk195706469"/>
    </w:p>
    <w:p w14:paraId="772BA983" w14:textId="77777777" w:rsidR="001D336F" w:rsidRDefault="001D336F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16"/>
          <w:szCs w:val="16"/>
          <w:lang w:val="x-none" w:eastAsia="x-none"/>
          <w14:ligatures w14:val="none"/>
        </w:rPr>
      </w:pPr>
    </w:p>
    <w:p w14:paraId="4176B989" w14:textId="50501A52" w:rsidR="00926F19" w:rsidRPr="00926F19" w:rsidRDefault="00926F19" w:rsidP="001D336F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926F19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                    </w:t>
      </w:r>
      <w:r w:rsidRPr="00926F19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На основании Федерального закона  от 6 октября 2003 года № 131-ФЗ «Об  общих  принципах  организации местного самоуправления в Российской  Федерации»,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приказом Минфина РФ от 31.07.2020г. № 158н “</w:t>
      </w:r>
      <w:r w:rsidR="00CB6F6C" w:rsidRPr="00CB6F6C">
        <w:t xml:space="preserve"> </w:t>
      </w:r>
      <w:r w:rsidR="00CB6F6C" w:rsidRP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Об утверждении Типового положения (регламента) о контрактной службе</w:t>
      </w:r>
      <w:r w:rsid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”, </w:t>
      </w:r>
      <w:r w:rsidRPr="00926F19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администрация </w:t>
      </w:r>
      <w:r w:rsidRPr="00926F19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>Мичуринского сельского поселения Приозерского муниципального района Ленинградской области</w:t>
      </w:r>
      <w:r w:rsidRPr="00926F19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ПОСТАНОВЛЯЕТ:</w:t>
      </w:r>
    </w:p>
    <w:p w14:paraId="02B8811C" w14:textId="77777777" w:rsidR="00926F19" w:rsidRPr="00926F19" w:rsidRDefault="00926F19" w:rsidP="001D336F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47AB7C92" w14:textId="32DF474D" w:rsidR="00C417AA" w:rsidRPr="002B2FEE" w:rsidRDefault="00926F19" w:rsidP="002B2FEE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</w:pPr>
      <w:r w:rsidRP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Утвердить Положение о контрактном управляющем  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подведомственн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ых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организаци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й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Администрации Мичуринского сельского поселения </w:t>
      </w:r>
      <w:r w:rsidR="00CB6F6C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>согласно приложению № 1 к настоящему постановлению.</w:t>
      </w:r>
    </w:p>
    <w:p w14:paraId="2634E7DB" w14:textId="63710A7B" w:rsidR="00CB6F6C" w:rsidRPr="00CB6F6C" w:rsidRDefault="00926F19" w:rsidP="001D336F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</w:pPr>
      <w:r w:rsidRP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Настоящее постановление вступает в силу с момента его  подписания</w:t>
      </w:r>
      <w:r w:rsidR="00871FA6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.</w:t>
      </w:r>
    </w:p>
    <w:p w14:paraId="7443ED52" w14:textId="4A19E12F" w:rsidR="00926F19" w:rsidRPr="00CB6F6C" w:rsidRDefault="00926F19" w:rsidP="001D336F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</w:pPr>
      <w:r w:rsidRPr="00CB6F6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Контроль за исполнением оставляю за собой.</w:t>
      </w:r>
    </w:p>
    <w:p w14:paraId="6CF4579A" w14:textId="1EE7B9C2" w:rsidR="00926F19" w:rsidRPr="00926F19" w:rsidRDefault="00926F19" w:rsidP="00926F19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926F19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      </w:t>
      </w:r>
    </w:p>
    <w:p w14:paraId="74D18FAD" w14:textId="616424DE" w:rsidR="00926F19" w:rsidRPr="00926F19" w:rsidRDefault="003E4075" w:rsidP="00926F19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81DC9A" wp14:editId="7B5A1869">
            <wp:simplePos x="0" y="0"/>
            <wp:positionH relativeFrom="column">
              <wp:posOffset>3410497</wp:posOffset>
            </wp:positionH>
            <wp:positionV relativeFrom="paragraph">
              <wp:posOffset>181974</wp:posOffset>
            </wp:positionV>
            <wp:extent cx="1584356" cy="1561182"/>
            <wp:effectExtent l="0" t="19050" r="15875" b="39370"/>
            <wp:wrapNone/>
            <wp:docPr id="10187271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423">
                      <a:off x="0" y="0"/>
                      <a:ext cx="1584356" cy="156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E3D28" w14:textId="0CABA465" w:rsidR="009A10BB" w:rsidRPr="00926F19" w:rsidRDefault="003E4075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26"/>
          <w:szCs w:val="26"/>
          <w:lang w:val="x-none" w:eastAsia="x-none"/>
          <w14:ligatures w14:val="none"/>
        </w:rPr>
      </w:pPr>
      <w:r w:rsidRPr="00561A0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C105A" wp14:editId="1D10C231">
            <wp:simplePos x="0" y="0"/>
            <wp:positionH relativeFrom="column">
              <wp:posOffset>2776220</wp:posOffset>
            </wp:positionH>
            <wp:positionV relativeFrom="paragraph">
              <wp:posOffset>186690</wp:posOffset>
            </wp:positionV>
            <wp:extent cx="1185545" cy="592455"/>
            <wp:effectExtent l="0" t="0" r="0" b="0"/>
            <wp:wrapNone/>
            <wp:docPr id="2" name="Рисунок 2" descr="C:\Users\Zemlya\Desktop\Карабец А.П\1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lya\Desktop\Карабец А.П\1-Photoro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BE050" w14:textId="538ABE19" w:rsidR="001911C4" w:rsidRDefault="001911C4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16"/>
          <w:szCs w:val="16"/>
          <w:lang w:val="x-none" w:eastAsia="x-none"/>
          <w14:ligatures w14:val="none"/>
        </w:rPr>
      </w:pPr>
    </w:p>
    <w:p w14:paraId="538DCD95" w14:textId="68856AEE" w:rsidR="00F12C76" w:rsidRDefault="009A10BB" w:rsidP="009A10BB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9A10BB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и.о.</w:t>
      </w:r>
      <w:r w:rsidR="00926F19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 </w:t>
      </w:r>
      <w:r w:rsidRPr="009A10BB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главы администрации                                                                                   А.Б. Иванов</w:t>
      </w:r>
      <w:bookmarkEnd w:id="0"/>
      <w:bookmarkEnd w:id="1"/>
    </w:p>
    <w:p w14:paraId="751F338F" w14:textId="5D582DB0" w:rsidR="000E6F06" w:rsidRDefault="000E6F06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6378BED7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2F28C28C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56AE4B83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791EE2BC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173E0AB4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5E151961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228B9175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p w14:paraId="4FC49AFA" w14:textId="77777777" w:rsidR="001D336F" w:rsidRDefault="001D336F" w:rsidP="000E6F06">
      <w:pPr>
        <w:tabs>
          <w:tab w:val="left" w:pos="2552"/>
        </w:tabs>
        <w:rPr>
          <w:rFonts w:eastAsia="Times New Roman" w:cs="Times New Roman"/>
          <w:sz w:val="25"/>
          <w:szCs w:val="25"/>
          <w:lang w:val="x-none" w:eastAsia="x-none"/>
        </w:rPr>
      </w:pPr>
    </w:p>
    <w:tbl>
      <w:tblPr>
        <w:tblW w:w="9465" w:type="dxa"/>
        <w:jc w:val="right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1D336F" w:rsidRPr="001D336F" w14:paraId="322B98E2" w14:textId="77777777" w:rsidTr="001D336F">
        <w:trPr>
          <w:jc w:val="right"/>
        </w:trPr>
        <w:tc>
          <w:tcPr>
            <w:tcW w:w="4361" w:type="dxa"/>
          </w:tcPr>
          <w:p w14:paraId="69D24252" w14:textId="77777777" w:rsidR="001D336F" w:rsidRPr="001D336F" w:rsidRDefault="001D336F" w:rsidP="001D336F">
            <w:pPr>
              <w:tabs>
                <w:tab w:val="left" w:pos="2552"/>
              </w:tabs>
              <w:rPr>
                <w:rFonts w:eastAsia="Times New Roman" w:cs="Times New Roman"/>
                <w:sz w:val="25"/>
                <w:szCs w:val="25"/>
                <w:lang w:eastAsia="x-none"/>
              </w:rPr>
            </w:pPr>
          </w:p>
        </w:tc>
        <w:tc>
          <w:tcPr>
            <w:tcW w:w="5103" w:type="dxa"/>
            <w:hideMark/>
          </w:tcPr>
          <w:p w14:paraId="424739CD" w14:textId="735ACC23" w:rsidR="001D336F" w:rsidRPr="001D336F" w:rsidRDefault="001D336F" w:rsidP="001D336F">
            <w:pPr>
              <w:tabs>
                <w:tab w:val="left" w:pos="2552"/>
              </w:tabs>
              <w:jc w:val="right"/>
              <w:rPr>
                <w:rFonts w:eastAsia="Times New Roman" w:cs="Times New Roman"/>
                <w:sz w:val="25"/>
                <w:szCs w:val="25"/>
                <w:lang w:eastAsia="x-none"/>
              </w:rPr>
            </w:pPr>
            <w:r w:rsidRPr="001D336F">
              <w:rPr>
                <w:rFonts w:eastAsia="Times New Roman" w:cs="Times New Roman"/>
                <w:sz w:val="25"/>
                <w:szCs w:val="25"/>
                <w:lang w:eastAsia="x-none"/>
              </w:rPr>
              <w:t>Приложение</w:t>
            </w:r>
            <w:r>
              <w:rPr>
                <w:rFonts w:eastAsia="Times New Roman" w:cs="Times New Roman"/>
                <w:sz w:val="25"/>
                <w:szCs w:val="25"/>
                <w:lang w:eastAsia="x-none"/>
              </w:rPr>
              <w:t xml:space="preserve"> №1</w:t>
            </w:r>
          </w:p>
          <w:p w14:paraId="41814A89" w14:textId="77777777" w:rsidR="001D336F" w:rsidRPr="001D336F" w:rsidRDefault="001D336F" w:rsidP="001D336F">
            <w:pPr>
              <w:tabs>
                <w:tab w:val="left" w:pos="2552"/>
              </w:tabs>
              <w:jc w:val="right"/>
              <w:rPr>
                <w:rFonts w:eastAsia="Times New Roman" w:cs="Times New Roman"/>
                <w:sz w:val="25"/>
                <w:szCs w:val="25"/>
                <w:lang w:eastAsia="x-none"/>
              </w:rPr>
            </w:pPr>
            <w:r w:rsidRPr="001D336F">
              <w:rPr>
                <w:rFonts w:eastAsia="Times New Roman" w:cs="Times New Roman"/>
                <w:sz w:val="25"/>
                <w:szCs w:val="25"/>
                <w:lang w:eastAsia="x-none"/>
              </w:rPr>
              <w:t>к постановлению Администрации</w:t>
            </w:r>
          </w:p>
          <w:p w14:paraId="1815342D" w14:textId="526E5F4A" w:rsidR="001D336F" w:rsidRPr="001D336F" w:rsidRDefault="001D336F" w:rsidP="001D336F">
            <w:pPr>
              <w:tabs>
                <w:tab w:val="left" w:pos="2552"/>
              </w:tabs>
              <w:jc w:val="right"/>
              <w:rPr>
                <w:rFonts w:eastAsia="Times New Roman" w:cs="Times New Roman"/>
                <w:sz w:val="25"/>
                <w:szCs w:val="25"/>
                <w:lang w:eastAsia="x-none"/>
              </w:rPr>
            </w:pPr>
            <w:r>
              <w:rPr>
                <w:rFonts w:eastAsia="Times New Roman" w:cs="Times New Roman"/>
                <w:sz w:val="25"/>
                <w:szCs w:val="25"/>
                <w:lang w:eastAsia="x-none"/>
              </w:rPr>
              <w:t>Мичуринского</w:t>
            </w:r>
            <w:r w:rsidRPr="001D336F">
              <w:rPr>
                <w:rFonts w:eastAsia="Times New Roman" w:cs="Times New Roman"/>
                <w:sz w:val="25"/>
                <w:szCs w:val="25"/>
                <w:lang w:eastAsia="x-none"/>
              </w:rPr>
              <w:t xml:space="preserve"> сельского поселения</w:t>
            </w:r>
          </w:p>
          <w:p w14:paraId="007F63FD" w14:textId="7F50371A" w:rsidR="001D336F" w:rsidRPr="001D336F" w:rsidRDefault="001D336F" w:rsidP="001D336F">
            <w:pPr>
              <w:tabs>
                <w:tab w:val="left" w:pos="2552"/>
              </w:tabs>
              <w:jc w:val="right"/>
              <w:rPr>
                <w:rFonts w:eastAsia="Times New Roman" w:cs="Times New Roman"/>
                <w:sz w:val="25"/>
                <w:szCs w:val="25"/>
                <w:lang w:eastAsia="x-none"/>
              </w:rPr>
            </w:pPr>
            <w:r w:rsidRPr="007C0D3C">
              <w:rPr>
                <w:rFonts w:eastAsia="Times New Roman" w:cs="Times New Roman"/>
                <w:sz w:val="25"/>
                <w:szCs w:val="25"/>
                <w:lang w:eastAsia="x-none"/>
              </w:rPr>
              <w:t xml:space="preserve">от </w:t>
            </w:r>
            <w:r w:rsidR="007C0D3C" w:rsidRPr="007C0D3C">
              <w:rPr>
                <w:rFonts w:eastAsia="Times New Roman" w:cs="Times New Roman"/>
                <w:sz w:val="25"/>
                <w:szCs w:val="25"/>
                <w:lang w:eastAsia="x-none"/>
              </w:rPr>
              <w:t>12.02.2025</w:t>
            </w:r>
            <w:r w:rsidRPr="007C0D3C">
              <w:rPr>
                <w:rFonts w:eastAsia="Times New Roman" w:cs="Times New Roman"/>
                <w:sz w:val="25"/>
                <w:szCs w:val="25"/>
                <w:lang w:eastAsia="x-none"/>
              </w:rPr>
              <w:t xml:space="preserve"> г. № </w:t>
            </w:r>
            <w:r w:rsidR="00243B39">
              <w:rPr>
                <w:rFonts w:eastAsia="Times New Roman" w:cs="Times New Roman"/>
                <w:sz w:val="25"/>
                <w:szCs w:val="25"/>
                <w:lang w:eastAsia="x-none"/>
              </w:rPr>
              <w:t>М-1</w:t>
            </w:r>
          </w:p>
        </w:tc>
      </w:tr>
    </w:tbl>
    <w:p w14:paraId="54DA9D41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3A37DAF4" w14:textId="055D200C" w:rsidR="007C0D3C" w:rsidRDefault="001D336F" w:rsidP="007C0D3C">
      <w:pPr>
        <w:tabs>
          <w:tab w:val="left" w:pos="2552"/>
        </w:tabs>
        <w:jc w:val="center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 xml:space="preserve">ПОЛОЖЕНИЕ 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 контрактном управляющем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подведомственн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ый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организаци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й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</w:t>
      </w:r>
    </w:p>
    <w:p w14:paraId="1262FFEC" w14:textId="77777777" w:rsidR="007C0D3C" w:rsidRDefault="007C0D3C" w:rsidP="007C0D3C">
      <w:pPr>
        <w:tabs>
          <w:tab w:val="left" w:pos="2552"/>
        </w:tabs>
        <w:jc w:val="center"/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Администрации </w:t>
      </w:r>
      <w:r w:rsidR="00CD11AD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Мичуринского сельского поселения </w:t>
      </w:r>
    </w:p>
    <w:p w14:paraId="61CE19D7" w14:textId="117A0D75" w:rsidR="00CD11AD" w:rsidRPr="007C0D3C" w:rsidRDefault="00CD11AD" w:rsidP="007C0D3C">
      <w:pPr>
        <w:tabs>
          <w:tab w:val="left" w:pos="2552"/>
        </w:tabs>
        <w:jc w:val="center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>Приозерского муниципального района</w:t>
      </w:r>
    </w:p>
    <w:p w14:paraId="77F77508" w14:textId="0FFC6C29" w:rsidR="001D336F" w:rsidRPr="001D336F" w:rsidRDefault="001D336F" w:rsidP="00CD11AD">
      <w:pPr>
        <w:tabs>
          <w:tab w:val="left" w:pos="2552"/>
        </w:tabs>
        <w:jc w:val="center"/>
        <w:rPr>
          <w:rFonts w:eastAsia="Times New Roman" w:cs="Times New Roman"/>
          <w:b/>
          <w:bCs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</w:r>
      <w:r w:rsidRPr="001D336F">
        <w:rPr>
          <w:rFonts w:eastAsia="Times New Roman" w:cs="Times New Roman"/>
          <w:b/>
          <w:bCs/>
          <w:sz w:val="25"/>
          <w:szCs w:val="25"/>
          <w:lang w:eastAsia="x-none"/>
        </w:rPr>
        <w:t>I. Общие положения</w:t>
      </w:r>
    </w:p>
    <w:p w14:paraId="249C2DE4" w14:textId="2B05F7AF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 xml:space="preserve">1.1. Настоящее положение о контрактном управляющем 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подведомственн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ых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организаци</w:t>
      </w:r>
      <w:r w:rsidR="002B2FEE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й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администрации Мичуринского сельского поселения</w:t>
      </w:r>
      <w:r w:rsidR="00CD11AD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 </w:t>
      </w:r>
      <w:r w:rsidRPr="001D336F">
        <w:rPr>
          <w:rFonts w:eastAsia="Times New Roman" w:cs="Times New Roman"/>
          <w:sz w:val="25"/>
          <w:szCs w:val="25"/>
          <w:lang w:eastAsia="x-none"/>
        </w:rPr>
        <w:t xml:space="preserve">(далее - Положение) устанавливает общие правила организации деятельности контрактного управляющего, основные полномочия контрактного управляющего 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подведомственн</w:t>
      </w:r>
      <w:r w:rsidR="00267F7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ых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организаци</w:t>
      </w:r>
      <w:r w:rsidR="00267F7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й</w:t>
      </w:r>
      <w:r w:rsidR="007C0D3C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администрации Мичуринского сельского поселения</w:t>
      </w:r>
      <w:r w:rsidR="00CD11AD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 </w:t>
      </w:r>
      <w:r w:rsidRPr="001D336F">
        <w:rPr>
          <w:rFonts w:eastAsia="Times New Roman" w:cs="Times New Roman"/>
          <w:sz w:val="25"/>
          <w:szCs w:val="25"/>
          <w:lang w:eastAsia="x-none"/>
        </w:rPr>
        <w:t>(далее - Заказчик), при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осуществлении Заказчиком деятельности, направленной на обеспечение муниципальных нужд в соответствии с Федеральным законом от 5 апреля 2013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г. No 44-ФЗ «О контрактной системе в сфере закупок товаров, работ, услуг для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обеспечения государственных и муниципальных нужд» (далее - Федеральный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закон).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1.2. Контрактный управляющий в своей деятельности руководствуется Конституцией Российской Федерации, Федеральным законом, гражданским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законодательством Российской Федерации, бюджетным законодательством Российской Федерации, нормативными правовыми актами о контрактной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системе в сфере закупок товаров, работ, услуг для обеспечения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государственных и муниципальных нужд, приказом Минфина России от 31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июля 2020 г. № 158н «Об утверждении Типового положения (регламента) о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контрактной службе», иными нормативными правовыми актами Российской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Федерации, а также настоящим Положением.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14:paraId="1699526E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t>1.4.   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14:paraId="12FC0E32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b/>
          <w:bCs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</w:r>
      <w:r w:rsidRPr="001D336F">
        <w:rPr>
          <w:rFonts w:eastAsia="Times New Roman" w:cs="Times New Roman"/>
          <w:b/>
          <w:bCs/>
          <w:sz w:val="25"/>
          <w:szCs w:val="25"/>
          <w:lang w:eastAsia="x-none"/>
        </w:rPr>
        <w:t>II. Организация деятельности контрактного управляющего</w:t>
      </w:r>
    </w:p>
    <w:p w14:paraId="6193A986" w14:textId="4FFF8452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>2.1. Контрактный управляющий должен иметь высшее образование или дополнительное профессиональное образование в сфере закупок.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2.2. В соответствии с законодательством Российской Федерации действия (бездействие) должностного лица заказчика могут быть обжалованы в судебном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порядке или в порядке, установленном главой 6 Федерального закона, 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контрольный орган в сфере закупок, если такие действия (бездействие)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нарушают права и законные интересы участника закупки.</w:t>
      </w:r>
    </w:p>
    <w:p w14:paraId="78DB62F3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b/>
          <w:bCs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lastRenderedPageBreak/>
        <w:br/>
      </w:r>
      <w:r w:rsidRPr="001D336F">
        <w:rPr>
          <w:rFonts w:eastAsia="Times New Roman" w:cs="Times New Roman"/>
          <w:b/>
          <w:bCs/>
          <w:sz w:val="25"/>
          <w:szCs w:val="25"/>
          <w:lang w:eastAsia="x-none"/>
        </w:rPr>
        <w:t>III. Функции и полномочия контрактного управляющего</w:t>
      </w:r>
    </w:p>
    <w:p w14:paraId="54296AA7" w14:textId="19D729BC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>3. Контрактный управляющий осуществляет следующие функции 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полномочия: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 При планировании закупок: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3.1.1. разрабатывает план-график, осуществляет подготовку изменений в план график;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3.1.3. организует общественное обсуждение закупок в случаях, предусмотренных статьей 20 Федерального закона;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</w:t>
      </w:r>
      <w:r>
        <w:rPr>
          <w:rFonts w:eastAsia="Times New Roman" w:cs="Times New Roman"/>
          <w:sz w:val="25"/>
          <w:szCs w:val="25"/>
          <w:lang w:eastAsia="x-none"/>
        </w:rPr>
        <w:t xml:space="preserve"> </w:t>
      </w:r>
      <w:r w:rsidRPr="001D336F">
        <w:rPr>
          <w:rFonts w:eastAsia="Times New Roman" w:cs="Times New Roman"/>
          <w:sz w:val="25"/>
          <w:szCs w:val="25"/>
          <w:lang w:eastAsia="x-none"/>
        </w:rPr>
        <w:t>статьей 19 Федерального закона;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3.1.5. организует в случае необходимости консультации с поставщиками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(подрядчиками, исполнителями) и участвует в таких консультациях в целях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определения состояния конкурентной среды на соответствующих рынках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товаров, работ, услуг, определения наилучших технологий и других решений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для обеспечения муниципальных нужд.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  При определении поставщиков (подрядчиков, исполнителей):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3.2.1. обеспечивает проведение закрытых конкурентных способов определения поставщиков (подрядчиков, исполнителей) в случаях, установленных частями 11 и 12 статьи 24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3.2.2. осуществляет подготовку и размещение в единой информационной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системе извещений об осуществлении закупок, документации о закупках (в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случае, если Федеральным законом предусмотрена документация о закупках),</w:t>
      </w:r>
    </w:p>
    <w:p w14:paraId="3528BADE" w14:textId="52555C1D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t>проектов контрактов, подготовку и направление приглашений принять участие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в определении поставщиков (подрядчиков, исполнителей):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3.2.2.2. осуществляет описание объекта закупки;</w:t>
      </w:r>
    </w:p>
    <w:p w14:paraId="7695ABFD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>3.2.2.3. указывает в извещении об осуществлении закупки информацию,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предусмотренную статьей 42 Федерального закона, в том числе информацию: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 о преимуществе в отношении участников закупок, установленном в соответствии со статьей 30 Федерального закона (при необходимости); о преимуществах, предоставляемых в соответствии со статьями 28, 29 Федерального закона;</w:t>
      </w:r>
    </w:p>
    <w:p w14:paraId="3C785B56" w14:textId="29196AD8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br/>
        <w:t>3.2.3. осуществляет подготовку и размещение в единой информационной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системе разъяснений положений извещения об осуществлении закупки,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</w:r>
      <w:r w:rsidRPr="001D336F">
        <w:rPr>
          <w:rFonts w:eastAsia="Times New Roman" w:cs="Times New Roman"/>
          <w:sz w:val="25"/>
          <w:szCs w:val="25"/>
          <w:lang w:eastAsia="x-none"/>
        </w:rPr>
        <w:lastRenderedPageBreak/>
        <w:t>документации о закупке (в случае, если Федеральным законом предусмотрена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документация о закупке);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3.2.4. осуществляет подготовку и размещение в единой информационной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системе извещения об отмене определения поставщика (подрядчика,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исполнителя), изменений в извещение об осуществлении закупки и (или)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документацию о закупке (в случае, если Федеральным законом предусмотрена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документация о закупке);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3.2.6. осуществляет организационно-техническое обеспечение деятельности комиссии по осуществлению закупок;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3.2.7. осуществляет привлечение экспертов, экспертных организаций в случаях, установленных статьей 41 Федерального закона.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 При заключении контрактов: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3.3.1. осуществляет размещение проекта контракта (контракта) в единой информационной системе и на электронной площадке с использованием единой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информационной системы;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3.3.2. осуществляет рассмотрение протокола разногласий при наличии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разногласий по проекту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3.3.3. осуществляет рассмотрение независимой гарантии, представленной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в качестве обеспечения исполнения контракта;</w:t>
      </w:r>
    </w:p>
    <w:p w14:paraId="2825532D" w14:textId="261E1703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3.3.7. обеспечивает хранение информации и документов в соответствии с частью 15 статьи 4 Федерального закона;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 При исполнении, изменении, расторжении контракта: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3.4.1. осуществляет рассмотрение независимой гарантии, представленной в качестве обеспечения гарантийного обязательства;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3.4.2. обеспечивает исполнение условий контракта в части выплаты аванса (если контрактом предусмотрена выплата аванса);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17EFA54D" w14:textId="30B822E2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lastRenderedPageBreak/>
        <w:br/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844F661" w14:textId="7226779D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3.4.9. обеспечивает одностороннее расторжение контракта в порядке,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предусмотренном статьей 95 Федерального закона.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3.5. осуществляет иные функции и полномочия, предусмотренные Федеральным законом, в том числе: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3.5.1. осуществляет подготовку и направление в контрольный орган 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сфере закупок информации и документов, свидетельствующих об уклонении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победителя определения поставщика (подрядчика, исполнителя) от заключения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контракта, в целях включения такой информации в реестр недобросовестных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поставщиков (подрядчиков, исполнителей);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14:paraId="0F402607" w14:textId="30DB4246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  <w:r w:rsidRPr="001D336F">
        <w:rPr>
          <w:rFonts w:eastAsia="Times New Roman" w:cs="Times New Roman"/>
          <w:sz w:val="25"/>
          <w:szCs w:val="25"/>
          <w:lang w:eastAsia="x-none"/>
        </w:rPr>
        <w:t>3.5.3. принимает участие в рассмотрении дел об обжаловании действий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(бездействия) Заказчика, уполномоченного органа (учреждения) в случае если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определение поставщика (подрядчика, исполнителя) для Заказчика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осуществляется таким органом (учреждением), специализированной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организацией (в случае ее привлечения), комиссии по осуществлению закупок,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ее членов, контрактного управляющего, оператора электронной площадки,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оператора специализированной электронной площадки, банков,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государственной корпорации «ВЭБ.РФ», фондов содействия кредитованию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</w:r>
      <w:r w:rsidRPr="001D336F">
        <w:rPr>
          <w:rFonts w:eastAsia="Times New Roman" w:cs="Times New Roman"/>
          <w:sz w:val="25"/>
          <w:szCs w:val="25"/>
          <w:lang w:eastAsia="x-none"/>
        </w:rPr>
        <w:lastRenderedPageBreak/>
        <w:t>(гарантийных фондов, фондов поручительств), являющихся участниками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национальной гарантийной системы поддержки малого и среднего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предпринимательства, предусмотренной Федеральным законом от 24 июля 2007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года No 209-ФЗ «О развитии малого и среднего предпринимательства 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Российской Федерации» (при осуществлении такими банками, корпорацией,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такими фондами действий, предусмотренных Федеральным законом), если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такие действия (бездействие) нарушают права и законные интересы участника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закупки, а также осуществляет подготовку материалов в рамках претензионно-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исковой работы;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3.5.4. при централизации закупок в соответствии со статьей 26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Федерального закона осуществляет предусмотренные Федеральным законом и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Положением полномочия, не переданные соответствующему уполномоченному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органу (учреждению) на осуществление определения поставщиков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(подрядчиков, исполнителей) для Заказчика.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3.6. Контрактный управляющий обязан при осуществлении закупок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принимать меры по предотвращению и урегулированию конфликта интересов в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соответствии с Федеральным законом от 25 декабря 2008 года № 273-ФЗ «О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противодействии коррупции», в том числе с учетом информации,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предоставленной заказчику в соответствии с частью 23 статьи 34 Федерального</w:t>
      </w:r>
      <w:r w:rsidRPr="001D336F">
        <w:rPr>
          <w:rFonts w:eastAsia="Times New Roman" w:cs="Times New Roman"/>
          <w:sz w:val="25"/>
          <w:szCs w:val="25"/>
          <w:lang w:eastAsia="x-none"/>
        </w:rPr>
        <w:br/>
        <w:t>закона.</w:t>
      </w:r>
    </w:p>
    <w:p w14:paraId="2AFF9417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29E0FD04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375740F2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29634A20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611F68AB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0CFF470F" w14:textId="77777777" w:rsidR="001D336F" w:rsidRPr="001D336F" w:rsidRDefault="001D336F" w:rsidP="001D336F">
      <w:pPr>
        <w:tabs>
          <w:tab w:val="left" w:pos="2552"/>
        </w:tabs>
        <w:jc w:val="both"/>
        <w:rPr>
          <w:rFonts w:eastAsia="Times New Roman" w:cs="Times New Roman"/>
          <w:sz w:val="25"/>
          <w:szCs w:val="25"/>
          <w:lang w:eastAsia="x-none"/>
        </w:rPr>
      </w:pPr>
    </w:p>
    <w:p w14:paraId="22CEEE63" w14:textId="77777777" w:rsidR="001D336F" w:rsidRPr="001D336F" w:rsidRDefault="001D336F" w:rsidP="001D336F">
      <w:pPr>
        <w:tabs>
          <w:tab w:val="left" w:pos="2552"/>
        </w:tabs>
        <w:rPr>
          <w:rFonts w:eastAsia="Times New Roman" w:cs="Times New Roman"/>
          <w:sz w:val="25"/>
          <w:szCs w:val="25"/>
          <w:lang w:eastAsia="x-none"/>
        </w:rPr>
      </w:pPr>
    </w:p>
    <w:sectPr w:rsidR="001D336F" w:rsidRPr="001D336F" w:rsidSect="00F552E6">
      <w:pgSz w:w="11906" w:h="16838" w:code="9"/>
      <w:pgMar w:top="28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5E24" w14:textId="77777777" w:rsidR="00AD2EA6" w:rsidRDefault="00AD2EA6" w:rsidP="001911C4">
      <w:pPr>
        <w:spacing w:after="0"/>
      </w:pPr>
      <w:r>
        <w:separator/>
      </w:r>
    </w:p>
  </w:endnote>
  <w:endnote w:type="continuationSeparator" w:id="0">
    <w:p w14:paraId="6A4178DD" w14:textId="77777777" w:rsidR="00AD2EA6" w:rsidRDefault="00AD2EA6" w:rsidP="00191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2C55" w14:textId="77777777" w:rsidR="00AD2EA6" w:rsidRDefault="00AD2EA6" w:rsidP="001911C4">
      <w:pPr>
        <w:spacing w:after="0"/>
      </w:pPr>
      <w:r>
        <w:separator/>
      </w:r>
    </w:p>
  </w:footnote>
  <w:footnote w:type="continuationSeparator" w:id="0">
    <w:p w14:paraId="78CD6B69" w14:textId="77777777" w:rsidR="00AD2EA6" w:rsidRDefault="00AD2EA6" w:rsidP="001911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A6C7E"/>
    <w:multiLevelType w:val="hybridMultilevel"/>
    <w:tmpl w:val="B176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AA9"/>
    <w:multiLevelType w:val="hybridMultilevel"/>
    <w:tmpl w:val="4BD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78CD"/>
    <w:multiLevelType w:val="hybridMultilevel"/>
    <w:tmpl w:val="EAA8E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9591822">
    <w:abstractNumId w:val="2"/>
  </w:num>
  <w:num w:numId="2" w16cid:durableId="889653503">
    <w:abstractNumId w:val="0"/>
  </w:num>
  <w:num w:numId="3" w16cid:durableId="177497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19"/>
    <w:rsid w:val="000A1819"/>
    <w:rsid w:val="000C2FB4"/>
    <w:rsid w:val="000C3DEF"/>
    <w:rsid w:val="000E136D"/>
    <w:rsid w:val="000E1C3D"/>
    <w:rsid w:val="000E6F06"/>
    <w:rsid w:val="000F3662"/>
    <w:rsid w:val="0016720D"/>
    <w:rsid w:val="001720B8"/>
    <w:rsid w:val="001911C4"/>
    <w:rsid w:val="001D336F"/>
    <w:rsid w:val="001D4673"/>
    <w:rsid w:val="00243B39"/>
    <w:rsid w:val="002530EC"/>
    <w:rsid w:val="0026001D"/>
    <w:rsid w:val="00267F75"/>
    <w:rsid w:val="002B2FEE"/>
    <w:rsid w:val="00330317"/>
    <w:rsid w:val="00361A42"/>
    <w:rsid w:val="003B213E"/>
    <w:rsid w:val="003E4075"/>
    <w:rsid w:val="004160F1"/>
    <w:rsid w:val="004300FC"/>
    <w:rsid w:val="004C0EBC"/>
    <w:rsid w:val="004C49A8"/>
    <w:rsid w:val="004C63B5"/>
    <w:rsid w:val="00572802"/>
    <w:rsid w:val="00603399"/>
    <w:rsid w:val="006C0B77"/>
    <w:rsid w:val="00796E3F"/>
    <w:rsid w:val="007C0D3C"/>
    <w:rsid w:val="007E0252"/>
    <w:rsid w:val="008215E1"/>
    <w:rsid w:val="008242FF"/>
    <w:rsid w:val="00870751"/>
    <w:rsid w:val="00871FA6"/>
    <w:rsid w:val="00892ABB"/>
    <w:rsid w:val="00910870"/>
    <w:rsid w:val="00917B4A"/>
    <w:rsid w:val="00922C48"/>
    <w:rsid w:val="00926F19"/>
    <w:rsid w:val="00947BAF"/>
    <w:rsid w:val="009A10BB"/>
    <w:rsid w:val="00A01578"/>
    <w:rsid w:val="00A03446"/>
    <w:rsid w:val="00A25744"/>
    <w:rsid w:val="00A317E8"/>
    <w:rsid w:val="00A432A4"/>
    <w:rsid w:val="00A960CC"/>
    <w:rsid w:val="00AA75CE"/>
    <w:rsid w:val="00AD2EA6"/>
    <w:rsid w:val="00AE10EA"/>
    <w:rsid w:val="00B134B3"/>
    <w:rsid w:val="00B22702"/>
    <w:rsid w:val="00B915B7"/>
    <w:rsid w:val="00BB3912"/>
    <w:rsid w:val="00BB7338"/>
    <w:rsid w:val="00C25159"/>
    <w:rsid w:val="00C2789F"/>
    <w:rsid w:val="00C417AA"/>
    <w:rsid w:val="00CB46C7"/>
    <w:rsid w:val="00CB6F6C"/>
    <w:rsid w:val="00CD11AD"/>
    <w:rsid w:val="00D04B28"/>
    <w:rsid w:val="00D22944"/>
    <w:rsid w:val="00D34FC8"/>
    <w:rsid w:val="00DF17C2"/>
    <w:rsid w:val="00EA59DF"/>
    <w:rsid w:val="00EB01AF"/>
    <w:rsid w:val="00EC70E0"/>
    <w:rsid w:val="00EE4070"/>
    <w:rsid w:val="00F12C76"/>
    <w:rsid w:val="00F552E6"/>
    <w:rsid w:val="00F84A31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AE7B"/>
  <w15:chartTrackingRefBased/>
  <w15:docId w15:val="{6ACBAE2E-2AC4-4CB8-A148-3C96616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1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911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11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911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user1213</dc:creator>
  <cp:keywords/>
  <dc:description/>
  <cp:lastModifiedBy>Екатерина Аринова</cp:lastModifiedBy>
  <cp:revision>5</cp:revision>
  <cp:lastPrinted>2025-06-05T13:13:00Z</cp:lastPrinted>
  <dcterms:created xsi:type="dcterms:W3CDTF">2025-06-05T13:12:00Z</dcterms:created>
  <dcterms:modified xsi:type="dcterms:W3CDTF">2025-06-23T11:51:00Z</dcterms:modified>
</cp:coreProperties>
</file>