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757A" w14:textId="5179F386" w:rsidR="00C0536C" w:rsidRPr="003D3E44" w:rsidRDefault="00C0536C" w:rsidP="003D3E44">
      <w:pPr>
        <w:ind w:left="-540" w:firstLine="540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3D3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</w:p>
    <w:p w14:paraId="538568DD" w14:textId="77777777" w:rsidR="00E331B6" w:rsidRPr="00E331B6" w:rsidRDefault="00E331B6" w:rsidP="00E331B6">
      <w:pPr>
        <w:widowControl w:val="0"/>
        <w:suppressAutoHyphens/>
        <w:spacing w:after="0" w:line="240" w:lineRule="auto"/>
        <w:ind w:left="142" w:hanging="142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331B6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448D3A6" wp14:editId="78EC2B31">
            <wp:extent cx="476250" cy="600075"/>
            <wp:effectExtent l="0" t="0" r="0" b="9525"/>
            <wp:docPr id="717820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C778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АДМИНИСТРАЦИЯ </w:t>
      </w:r>
    </w:p>
    <w:p w14:paraId="7835109F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МИЧУРИНСКОГО СЕЛЬСКОГО ПОСЕЛЕНИЯ</w:t>
      </w:r>
    </w:p>
    <w:p w14:paraId="26CB8F49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ПРИОЗЕРСКОГО МУНИЦИПАЛЬНОГО РАЙОНА </w:t>
      </w:r>
    </w:p>
    <w:p w14:paraId="6A44B02B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ЛЕНИНГРАДСКОЙ ОБЛАСТИ</w:t>
      </w:r>
    </w:p>
    <w:p w14:paraId="68275ADA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48D5595A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 О С Т А Н О В Л Е Н И Е</w:t>
      </w:r>
    </w:p>
    <w:p w14:paraId="3BD1AAB6" w14:textId="77777777" w:rsidR="00E331B6" w:rsidRPr="00E331B6" w:rsidRDefault="00E331B6" w:rsidP="00E331B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32"/>
          <w:szCs w:val="32"/>
          <w:lang w:eastAsia="ru-RU"/>
        </w:rPr>
      </w:pPr>
    </w:p>
    <w:p w14:paraId="758ED9DC" w14:textId="54E4D385" w:rsidR="00E331B6" w:rsidRPr="00E331B6" w:rsidRDefault="00E331B6" w:rsidP="00E331B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</w:pPr>
      <w:r w:rsidRPr="00E331B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 xml:space="preserve">«26» августа 2025 г. </w:t>
      </w:r>
      <w:r w:rsidRPr="00E331B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№ 9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7</w:t>
      </w:r>
    </w:p>
    <w:p w14:paraId="5BF733E2" w14:textId="77777777" w:rsidR="004D4DA1" w:rsidRDefault="004D4DA1" w:rsidP="004D4DA1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7FBA97AB" w14:textId="31F2810E" w:rsidR="004D4DA1" w:rsidRPr="004D4DA1" w:rsidRDefault="004D4DA1" w:rsidP="004D4DA1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4D4D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О внесении изменений в постановление администрации Мичуринского сельского поселения № 19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3</w:t>
      </w:r>
      <w:r w:rsidRPr="004D4D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11.12.2024 года «Об утверждении программы профилактики нарушений обязательных требований в сфере муниципального жилищного контроля на 2025 год»</w:t>
      </w:r>
      <w:r w:rsidRPr="004D4D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3BB40C7B" w14:textId="77777777" w:rsidR="004D4DA1" w:rsidRDefault="004D4DA1" w:rsidP="00AC5D5E">
      <w:pPr>
        <w:pStyle w:val="ad"/>
        <w:rPr>
          <w:szCs w:val="24"/>
        </w:rPr>
      </w:pPr>
    </w:p>
    <w:p w14:paraId="49E30D24" w14:textId="78C1BE72" w:rsidR="00AC5D5E" w:rsidRPr="00245267" w:rsidRDefault="00C0536C" w:rsidP="00AC5D5E">
      <w:pPr>
        <w:pStyle w:val="ad"/>
      </w:pPr>
      <w:r w:rsidRPr="00430677">
        <w:rPr>
          <w:szCs w:val="24"/>
        </w:rPr>
        <w:t xml:space="preserve">        </w:t>
      </w:r>
      <w:r w:rsidR="00AC5D5E" w:rsidRPr="00245267">
        <w:t>Руководствуясь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Российской Федерации от 23.05.2025 N 718 "О внесении изменений в некоторые акты Правительства Российской Федерации"</w:t>
      </w:r>
      <w:r w:rsidR="00AC5D5E">
        <w:t xml:space="preserve">, администрация </w:t>
      </w:r>
      <w:r w:rsidR="00E331B6">
        <w:t>Мичуринского</w:t>
      </w:r>
      <w:r w:rsidR="00AC5D5E">
        <w:t xml:space="preserve"> сельского поселения </w:t>
      </w:r>
      <w:r w:rsidR="00AC5D5E" w:rsidRPr="00245267">
        <w:t>ПОСТАНОВЛЯ</w:t>
      </w:r>
      <w:r w:rsidR="00AC5D5E">
        <w:t>ЕТ</w:t>
      </w:r>
      <w:r w:rsidR="00AC5D5E" w:rsidRPr="00245267">
        <w:t>:</w:t>
      </w:r>
    </w:p>
    <w:p w14:paraId="267C069B" w14:textId="77777777" w:rsidR="00AC5D5E" w:rsidRPr="00245267" w:rsidRDefault="00AC5D5E" w:rsidP="00AC5D5E">
      <w:pPr>
        <w:pStyle w:val="ad"/>
      </w:pPr>
    </w:p>
    <w:p w14:paraId="3EA4EE09" w14:textId="70CB49AD" w:rsidR="006041EC" w:rsidRPr="006A753B" w:rsidRDefault="006041EC" w:rsidP="006041E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9017428"/>
      <w:r w:rsidRPr="006A753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Pr="006041EC">
        <w:rPr>
          <w:rFonts w:ascii="Times New Roman" w:hAnsi="Times New Roman" w:cs="Times New Roman"/>
          <w:sz w:val="24"/>
          <w:szCs w:val="24"/>
        </w:rPr>
        <w:t xml:space="preserve">Мичуринского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D7BB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озерского муниципального района Ленинградской области </w:t>
      </w:r>
      <w:r w:rsidRPr="00DD7B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D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DD7BB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7BB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193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редакции. </w:t>
      </w:r>
    </w:p>
    <w:p w14:paraId="584CB805" w14:textId="0AD92642" w:rsidR="006041EC" w:rsidRDefault="006041EC" w:rsidP="006041E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Мичуринского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Приозерского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753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6041EC">
        <w:rPr>
          <w:rFonts w:ascii="Times New Roman" w:hAnsi="Times New Roman" w:cs="Times New Roman"/>
          <w:sz w:val="24"/>
          <w:szCs w:val="24"/>
        </w:rPr>
        <w:t>https://мичуринское-сп.рф/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C6F1C" w14:textId="77777777" w:rsidR="006041EC" w:rsidRPr="006A753B" w:rsidRDefault="006041EC" w:rsidP="006041E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14:paraId="337F501A" w14:textId="77777777" w:rsidR="006041EC" w:rsidRPr="00ED1D14" w:rsidRDefault="006041EC" w:rsidP="006041EC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bookmarkEnd w:id="0"/>
    <w:p w14:paraId="5DA19523" w14:textId="77777777" w:rsidR="006041EC" w:rsidRDefault="006041EC" w:rsidP="000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5D60" w14:textId="77777777" w:rsidR="006041EC" w:rsidRDefault="006041EC" w:rsidP="000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642DD" w14:textId="4946F776" w:rsidR="000F1F5D" w:rsidRPr="00D374EB" w:rsidRDefault="000F1F5D" w:rsidP="000F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И.о. главы администрации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81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 Иванов</w:t>
      </w:r>
    </w:p>
    <w:p w14:paraId="68767DE5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4C8A591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40846A51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32EF7992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817AF35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FA93D93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0AAC0886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04CFA12C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C66DA12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00C8AA27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D3443D4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491AF58E" w14:textId="77777777" w:rsidR="00E4572D" w:rsidRDefault="00E4572D" w:rsidP="00E4572D">
      <w:pPr>
        <w:spacing w:after="0"/>
        <w:rPr>
          <w:rFonts w:ascii="Times New Roman" w:hAnsi="Times New Roman"/>
          <w:sz w:val="20"/>
          <w:szCs w:val="20"/>
        </w:rPr>
      </w:pPr>
    </w:p>
    <w:p w14:paraId="28B86184" w14:textId="77777777" w:rsidR="000F1F5D" w:rsidRPr="000F1F5D" w:rsidRDefault="000F1F5D" w:rsidP="000F1F5D">
      <w:pPr>
        <w:widowControl w:val="0"/>
        <w:numPr>
          <w:ilvl w:val="0"/>
          <w:numId w:val="2"/>
        </w:numPr>
        <w:tabs>
          <w:tab w:val="num" w:pos="432"/>
        </w:tabs>
        <w:suppressAutoHyphens/>
        <w:autoSpaceDE w:val="0"/>
        <w:spacing w:after="0" w:line="240" w:lineRule="auto"/>
        <w:ind w:hanging="6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F1F5D">
        <w:rPr>
          <w:rFonts w:ascii="Times New Roman" w:eastAsia="Times New Roman" w:hAnsi="Times New Roman" w:cs="Times New Roman"/>
          <w:sz w:val="16"/>
          <w:szCs w:val="24"/>
          <w:lang w:eastAsia="ar-SA"/>
        </w:rPr>
        <w:t>Исп. В.В. Шихова,</w:t>
      </w:r>
    </w:p>
    <w:p w14:paraId="4481DA4C" w14:textId="77777777" w:rsidR="000F1F5D" w:rsidRPr="000F1F5D" w:rsidRDefault="000F1F5D" w:rsidP="000F1F5D">
      <w:pPr>
        <w:widowControl w:val="0"/>
        <w:numPr>
          <w:ilvl w:val="0"/>
          <w:numId w:val="2"/>
        </w:numPr>
        <w:tabs>
          <w:tab w:val="num" w:pos="432"/>
        </w:tabs>
        <w:suppressAutoHyphens/>
        <w:autoSpaceDE w:val="0"/>
        <w:spacing w:after="0" w:line="240" w:lineRule="auto"/>
        <w:ind w:hanging="6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F1F5D">
        <w:rPr>
          <w:rFonts w:ascii="Times New Roman" w:eastAsia="Times New Roman" w:hAnsi="Times New Roman" w:cs="Times New Roman"/>
          <w:sz w:val="16"/>
          <w:szCs w:val="24"/>
          <w:lang w:eastAsia="ar-SA"/>
        </w:rPr>
        <w:t>Разослано: дело-2, прокуратура – 1.</w:t>
      </w:r>
    </w:p>
    <w:p w14:paraId="79D68D7C" w14:textId="61F17D6F" w:rsidR="006041EC" w:rsidRDefault="006041E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9FDF7F2" w14:textId="77777777" w:rsidR="006041EC" w:rsidRPr="006A753B" w:rsidRDefault="006041EC" w:rsidP="006041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9017476"/>
      <w:bookmarkStart w:id="2" w:name="_Hlk209017770"/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14:paraId="2F1DCE44" w14:textId="77777777" w:rsidR="006041EC" w:rsidRPr="006A753B" w:rsidRDefault="006041EC" w:rsidP="006041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57EC7E5" w14:textId="2FD41AF7" w:rsidR="006041EC" w:rsidRPr="006A753B" w:rsidRDefault="006041EC" w:rsidP="006041E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0BC750B8" w14:textId="77777777" w:rsidR="006041EC" w:rsidRPr="006A753B" w:rsidRDefault="006041EC" w:rsidP="006041E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87062FB" w14:textId="77777777" w:rsidR="006041EC" w:rsidRPr="006A753B" w:rsidRDefault="006041EC" w:rsidP="006041E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0A92239C" w14:textId="6E62E9FA" w:rsidR="006041EC" w:rsidRPr="006A753B" w:rsidRDefault="006041EC" w:rsidP="006041EC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2025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36CC4DB" w14:textId="77777777" w:rsidR="006041EC" w:rsidRPr="006A753B" w:rsidRDefault="006041EC" w:rsidP="006041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bookmarkEnd w:id="1"/>
    </w:p>
    <w:bookmarkEnd w:id="2"/>
    <w:p w14:paraId="1EC8CD58" w14:textId="77777777" w:rsidR="006041EC" w:rsidRPr="006A753B" w:rsidRDefault="006041EC" w:rsidP="006041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A9250" w14:textId="77777777" w:rsidR="006041EC" w:rsidRPr="002B5EE8" w:rsidRDefault="006041EC" w:rsidP="000B121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Программа </w:t>
      </w:r>
    </w:p>
    <w:p w14:paraId="2CDBC7BA" w14:textId="77777777" w:rsidR="006041EC" w:rsidRPr="002B5EE8" w:rsidRDefault="006041EC" w:rsidP="000B121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14:paraId="0689FB0C" w14:textId="77777777" w:rsidR="006041EC" w:rsidRPr="002B5EE8" w:rsidRDefault="006041EC" w:rsidP="000B1210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2025 год</w:t>
      </w:r>
    </w:p>
    <w:p w14:paraId="7670B1FB" w14:textId="77777777" w:rsidR="006041EC" w:rsidRPr="002B5EE8" w:rsidRDefault="006041EC" w:rsidP="000B12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C68D3FB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C99304E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DEFE4B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1.1. Настоящая программа разработана в соответствии со </w:t>
      </w:r>
      <w:r w:rsidRPr="002B5EE8">
        <w:rPr>
          <w:rFonts w:ascii="Times New Roman" w:eastAsia="Calibri" w:hAnsi="Times New Roman" w:cs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лением Правительства Российской Федерации от </w:t>
      </w:r>
      <w:r w:rsidRPr="002B5EE8">
        <w:rPr>
          <w:rFonts w:ascii="Times New Roman" w:eastAsia="Calibri" w:hAnsi="Times New Roman" w:cs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14CE7AE9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Программа профилактики </w:t>
      </w:r>
      <w:r w:rsidRPr="002B5EE8">
        <w:rPr>
          <w:rFonts w:ascii="Times New Roman" w:eastAsia="Calibri" w:hAnsi="Times New Roman" w:cs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направлена на </w:t>
      </w: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2B5EE8">
        <w:rPr>
          <w:rFonts w:ascii="Times New Roman" w:eastAsia="Calibri" w:hAnsi="Times New Roman" w:cs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14:paraId="504DF331" w14:textId="3E193800" w:rsidR="006041EC" w:rsidRPr="002B5EE8" w:rsidRDefault="006041EC" w:rsidP="000B12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1.3. Муниципальный жилищный контроль осуществляется администрацией </w:t>
      </w:r>
      <w:r>
        <w:rPr>
          <w:rFonts w:ascii="Times New Roman" w:eastAsia="Calibri" w:hAnsi="Times New Roman" w:cs="Times New Roman"/>
          <w:sz w:val="24"/>
          <w:szCs w:val="24"/>
        </w:rPr>
        <w:t>Мичуринского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Администрация) </w:t>
      </w:r>
    </w:p>
    <w:p w14:paraId="597781A1" w14:textId="77777777" w:rsidR="006041EC" w:rsidRPr="002B5EE8" w:rsidRDefault="006041EC" w:rsidP="000B12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1.4. Предметом муниципального жилищного контроля является:</w:t>
      </w:r>
    </w:p>
    <w:p w14:paraId="58B4EDBB" w14:textId="77777777" w:rsidR="006041EC" w:rsidRPr="002B5EE8" w:rsidRDefault="006041EC" w:rsidP="000B12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14:paraId="3010FC85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83813409"/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9" w:history="1">
        <w:r w:rsidRPr="002B5EE8">
          <w:rPr>
            <w:rFonts w:ascii="Times New Roman" w:eastAsia="Calibri" w:hAnsi="Times New Roman" w:cs="Times New Roman"/>
            <w:sz w:val="24"/>
            <w:szCs w:val="24"/>
          </w:rPr>
          <w:t>требований</w:t>
        </w:r>
      </w:hyperlink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6B44F23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E4CBCDF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0F6719C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97122CD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450BDA2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</w:p>
    <w:p w14:paraId="3887C6CE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</w:p>
    <w:p w14:paraId="4BE2B1FD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10)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</w:p>
    <w:p w14:paraId="52D318FE" w14:textId="77777777" w:rsidR="006041EC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11) требований к обеспечению доступности для инвалидов помещений в многоквартирных домах; </w:t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r w:rsidRPr="002B5EE8">
        <w:rPr>
          <w:rFonts w:ascii="Times New Roman" w:eastAsia="Calibri" w:hAnsi="Times New Roman" w:cs="Times New Roman"/>
          <w:sz w:val="24"/>
          <w:szCs w:val="24"/>
        </w:rPr>
        <w:tab/>
      </w:r>
      <w:bookmarkStart w:id="4" w:name="Par10"/>
      <w:bookmarkEnd w:id="4"/>
    </w:p>
    <w:p w14:paraId="07729933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12) требований к предоставлению жилых помещений в наемных домах социального использования.</w:t>
      </w:r>
    </w:p>
    <w:bookmarkEnd w:id="3"/>
    <w:p w14:paraId="526BF399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14:paraId="126D05A8" w14:textId="77777777" w:rsidR="006041EC" w:rsidRPr="002B5EE8" w:rsidRDefault="006041EC" w:rsidP="000B1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является:</w:t>
      </w:r>
    </w:p>
    <w:p w14:paraId="7B7EC609" w14:textId="77777777" w:rsidR="006041EC" w:rsidRPr="002B5EE8" w:rsidRDefault="006041EC" w:rsidP="000B12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14:paraId="49803676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14:paraId="56B63BFC" w14:textId="7CD17231" w:rsidR="006041EC" w:rsidRDefault="006041EC" w:rsidP="000B12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1.5. </w:t>
      </w: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Мичуринского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2B5EE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7D278B" w14:textId="77777777" w:rsidR="000B1210" w:rsidRPr="002B5EE8" w:rsidRDefault="000B1210" w:rsidP="000B12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6041EC" w:rsidRPr="002B5EE8" w14:paraId="7DE2EFFF" w14:textId="77777777" w:rsidTr="00F56431">
        <w:tc>
          <w:tcPr>
            <w:tcW w:w="4968" w:type="dxa"/>
          </w:tcPr>
          <w:p w14:paraId="28281AB3" w14:textId="77777777" w:rsidR="006041EC" w:rsidRPr="002B5EE8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14:paraId="25950AF0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14:paraId="61D15EB8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</w:tcPr>
          <w:p w14:paraId="382BA843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</w:tr>
      <w:tr w:rsidR="006041EC" w:rsidRPr="002B5EE8" w14:paraId="32D20806" w14:textId="77777777" w:rsidTr="00F56431">
        <w:tc>
          <w:tcPr>
            <w:tcW w:w="4968" w:type="dxa"/>
          </w:tcPr>
          <w:p w14:paraId="061E0BCB" w14:textId="77777777" w:rsidR="006041EC" w:rsidRPr="002B5EE8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14:paraId="49B70B7D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0E40A2B7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0AEF3F6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41EC" w:rsidRPr="002B5EE8" w14:paraId="69CD74D0" w14:textId="77777777" w:rsidTr="00F56431">
        <w:tc>
          <w:tcPr>
            <w:tcW w:w="4968" w:type="dxa"/>
          </w:tcPr>
          <w:p w14:paraId="3E8A97FC" w14:textId="77777777" w:rsidR="006041EC" w:rsidRPr="002B5EE8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14:paraId="65F57529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149CA533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87A604E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41EC" w:rsidRPr="002B5EE8" w14:paraId="6ACF6961" w14:textId="77777777" w:rsidTr="00F56431">
        <w:tc>
          <w:tcPr>
            <w:tcW w:w="4968" w:type="dxa"/>
          </w:tcPr>
          <w:p w14:paraId="0A073FA9" w14:textId="77777777" w:rsidR="006041EC" w:rsidRPr="002B5EE8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14:paraId="5321DFAE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558EF345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68178ED5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41EC" w:rsidRPr="002B5EE8" w14:paraId="352C3D5F" w14:textId="77777777" w:rsidTr="00F56431">
        <w:tc>
          <w:tcPr>
            <w:tcW w:w="4968" w:type="dxa"/>
          </w:tcPr>
          <w:p w14:paraId="320A8C93" w14:textId="77777777" w:rsidR="006041EC" w:rsidRPr="002B5EE8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14:paraId="59BFB140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29FFD9E4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5756BA0C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41EC" w:rsidRPr="002B5EE8" w14:paraId="16584C8C" w14:textId="77777777" w:rsidTr="00F56431">
        <w:tc>
          <w:tcPr>
            <w:tcW w:w="4968" w:type="dxa"/>
          </w:tcPr>
          <w:p w14:paraId="7D3B2546" w14:textId="77777777" w:rsidR="006041EC" w:rsidRPr="002B5EE8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1418" w:type="dxa"/>
          </w:tcPr>
          <w:p w14:paraId="6111DE5F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058CCABE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54A818A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41EC" w:rsidRPr="002B5EE8" w14:paraId="1F5D1807" w14:textId="77777777" w:rsidTr="00F56431">
        <w:tc>
          <w:tcPr>
            <w:tcW w:w="4968" w:type="dxa"/>
          </w:tcPr>
          <w:p w14:paraId="547D604A" w14:textId="77777777" w:rsidR="006041EC" w:rsidRPr="002B5EE8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Рейдовые выезды по соблюдению требований энергетической эффективности совместно с ресурсоснабжающими организациями</w:t>
            </w:r>
          </w:p>
        </w:tc>
        <w:tc>
          <w:tcPr>
            <w:tcW w:w="1418" w:type="dxa"/>
          </w:tcPr>
          <w:p w14:paraId="68E3D105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14:paraId="06D69A5E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1ECAAB0" w14:textId="77777777" w:rsidR="006041EC" w:rsidRPr="002B5EE8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37D5F4E9" w14:textId="77777777" w:rsidR="000B1210" w:rsidRDefault="000B1210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6F8235" w14:textId="6862F821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контроле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Мичуринском</w:t>
      </w: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запланированы следующие профилактические мероприятия:</w:t>
      </w:r>
    </w:p>
    <w:p w14:paraId="3DE317E6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а) информирование;</w:t>
      </w:r>
    </w:p>
    <w:p w14:paraId="4C18BAEE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б) обобщение правоприменительной практики; в) объявление предостережения;</w:t>
      </w:r>
    </w:p>
    <w:p w14:paraId="6BC81746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г) консультирование;</w:t>
      </w:r>
    </w:p>
    <w:p w14:paraId="7631B7F6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д) профилактический визит.</w:t>
      </w:r>
    </w:p>
    <w:p w14:paraId="6C6B48FB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52.1 Федерального закона N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 и Положением о муниципальном жилищном</w:t>
      </w: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контроле:</w:t>
      </w:r>
    </w:p>
    <w:p w14:paraId="6ADBC5AF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впервые приступающих к осуществлению деятельности.</w:t>
      </w:r>
    </w:p>
    <w:p w14:paraId="0C3BB833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N 248-ФЗ;</w:t>
      </w:r>
    </w:p>
    <w:p w14:paraId="6A16261C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2) по поручению:</w:t>
      </w:r>
    </w:p>
    <w:p w14:paraId="6EC0F91B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а) Президента Российской Федерации;</w:t>
      </w:r>
    </w:p>
    <w:p w14:paraId="7C216117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14:paraId="279698EE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Обязательный профилактический визит не предусматривает отказ контролируемого лица от его проведения.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5775B9C0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5A63EC0A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46632E0C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N"248-ФЗ.</w:t>
      </w:r>
    </w:p>
    <w:p w14:paraId="65EA6A35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</w:t>
      </w:r>
    </w:p>
    <w:p w14:paraId="6CF96A03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некоммерческой организацией либо государственным или муниципальным учреждением.</w:t>
      </w:r>
    </w:p>
    <w:p w14:paraId="3764F179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36907684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5F1F6B56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5365A3B9" w14:textId="77777777" w:rsidR="006041EC" w:rsidRPr="00CE5A34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7D46D61B" w14:textId="24BEC1E4" w:rsidR="006041EC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жилищный</w:t>
      </w:r>
      <w:r w:rsidRPr="00CE5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контроль, незамедлительно направляет информацию об этом главе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Мичуринского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2190CB36" w14:textId="77777777" w:rsidR="006041EC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D0A4C4" w14:textId="77777777" w:rsidR="006041EC" w:rsidRPr="002B5EE8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14:paraId="414DDE5A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57F2CB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2.1. Основными целями Программы профилактики являются:</w:t>
      </w:r>
    </w:p>
    <w:p w14:paraId="400A3641" w14:textId="77777777" w:rsidR="006041EC" w:rsidRPr="002B5EE8" w:rsidRDefault="006041EC" w:rsidP="000B121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2D033A7" w14:textId="77777777" w:rsidR="006041EC" w:rsidRPr="002B5EE8" w:rsidRDefault="006041EC" w:rsidP="000B121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B5EE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685A77EA" w14:textId="77777777" w:rsidR="006041EC" w:rsidRPr="002B5EE8" w:rsidRDefault="006041EC" w:rsidP="000B121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B73B93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1D756200" w14:textId="77777777" w:rsidR="006041EC" w:rsidRPr="002B5EE8" w:rsidRDefault="006041EC" w:rsidP="000B121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B3D6D8C" w14:textId="77777777" w:rsidR="006041EC" w:rsidRPr="002B5EE8" w:rsidRDefault="006041EC" w:rsidP="000B121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правосознания, правовой культуры,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правовой грамотности</w:t>
      </w:r>
      <w:r w:rsidRPr="002B5EE8">
        <w:rPr>
          <w:rFonts w:ascii="Times New Roman" w:eastAsia="Calibri" w:hAnsi="Times New Roman" w:cs="Times New Roman"/>
          <w:iCs/>
          <w:sz w:val="24"/>
          <w:szCs w:val="24"/>
        </w:rPr>
        <w:t xml:space="preserve"> контролируемых лиц, 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EA05BA4" w14:textId="77777777" w:rsidR="006041EC" w:rsidRPr="002B5EE8" w:rsidRDefault="006041EC" w:rsidP="000B121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8E87CDE" w14:textId="77777777" w:rsidR="006041EC" w:rsidRPr="002B5EE8" w:rsidRDefault="006041EC" w:rsidP="000B1210">
      <w:pPr>
        <w:numPr>
          <w:ilvl w:val="2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7A0B25C4" w14:textId="77777777" w:rsidR="006041EC" w:rsidRPr="002B5EE8" w:rsidRDefault="006041EC" w:rsidP="000B1210">
      <w:pPr>
        <w:numPr>
          <w:ilvl w:val="2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14:paraId="18B4B73B" w14:textId="77777777" w:rsidR="006041EC" w:rsidRPr="002B5EE8" w:rsidRDefault="006041EC" w:rsidP="000B1210">
      <w:pPr>
        <w:numPr>
          <w:ilvl w:val="2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67E622FB" w14:textId="77777777" w:rsidR="006041EC" w:rsidRPr="002B5EE8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D8DB24" w14:textId="77777777" w:rsidR="006041EC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057B684" w14:textId="77777777" w:rsidR="000B1210" w:rsidRPr="002B5EE8" w:rsidRDefault="000B1210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5BB364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2025 год:</w:t>
      </w:r>
    </w:p>
    <w:p w14:paraId="5CFDEFD3" w14:textId="77777777" w:rsidR="006041EC" w:rsidRPr="002B5EE8" w:rsidRDefault="006041EC" w:rsidP="000B12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063"/>
        <w:gridCol w:w="1627"/>
        <w:gridCol w:w="2849"/>
        <w:gridCol w:w="1408"/>
      </w:tblGrid>
      <w:tr w:rsidR="006041EC" w:rsidRPr="002B5EE8" w14:paraId="66A53847" w14:textId="77777777" w:rsidTr="000B1210">
        <w:trPr>
          <w:trHeight w:val="1103"/>
        </w:trPr>
        <w:tc>
          <w:tcPr>
            <w:tcW w:w="459" w:type="dxa"/>
          </w:tcPr>
          <w:p w14:paraId="14E66319" w14:textId="77777777" w:rsidR="006041EC" w:rsidRPr="000B1210" w:rsidRDefault="006041EC" w:rsidP="000B121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063" w:type="dxa"/>
          </w:tcPr>
          <w:p w14:paraId="657469B5" w14:textId="77777777" w:rsidR="006041EC" w:rsidRPr="000B1210" w:rsidRDefault="006041EC" w:rsidP="000B121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627" w:type="dxa"/>
          </w:tcPr>
          <w:p w14:paraId="3E08245D" w14:textId="77777777" w:rsidR="006041EC" w:rsidRPr="000B1210" w:rsidRDefault="006041EC" w:rsidP="000B121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2849" w:type="dxa"/>
          </w:tcPr>
          <w:p w14:paraId="5967D4EE" w14:textId="77777777" w:rsidR="006041EC" w:rsidRPr="000B1210" w:rsidRDefault="006041EC" w:rsidP="000B121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Ожидаемые результаты</w:t>
            </w:r>
          </w:p>
        </w:tc>
        <w:tc>
          <w:tcPr>
            <w:tcW w:w="1408" w:type="dxa"/>
          </w:tcPr>
          <w:p w14:paraId="7F60A3CC" w14:textId="77777777" w:rsidR="006041EC" w:rsidRPr="000B1210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Ответственный</w:t>
            </w:r>
          </w:p>
          <w:p w14:paraId="3978B42F" w14:textId="77777777" w:rsidR="006041EC" w:rsidRPr="000B1210" w:rsidRDefault="006041EC" w:rsidP="000B1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исполнитель</w:t>
            </w:r>
          </w:p>
        </w:tc>
      </w:tr>
      <w:tr w:rsidR="006041EC" w:rsidRPr="002B5EE8" w14:paraId="1E14F503" w14:textId="77777777" w:rsidTr="000B1210">
        <w:trPr>
          <w:trHeight w:val="5002"/>
        </w:trPr>
        <w:tc>
          <w:tcPr>
            <w:tcW w:w="459" w:type="dxa"/>
          </w:tcPr>
          <w:p w14:paraId="6B6CE763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063" w:type="dxa"/>
          </w:tcPr>
          <w:p w14:paraId="4BF5BADF" w14:textId="1EEAFEC6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Pr="000B1210">
              <w:rPr>
                <w:rFonts w:ascii="Times New Roman" w:eastAsia="Calibri" w:hAnsi="Times New Roman" w:cs="Times New Roman"/>
              </w:rPr>
              <w:t>Мичуринского</w:t>
            </w:r>
            <w:r w:rsidRPr="000B1210">
              <w:rPr>
                <w:rFonts w:ascii="Times New Roman" w:eastAsia="Calibri" w:hAnsi="Times New Roman" w:cs="Times New Roman"/>
              </w:rPr>
              <w:t xml:space="preserve"> сельского поселения,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1627" w:type="dxa"/>
          </w:tcPr>
          <w:p w14:paraId="2D0EEB3C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849" w:type="dxa"/>
          </w:tcPr>
          <w:p w14:paraId="306317B1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1408" w:type="dxa"/>
          </w:tcPr>
          <w:p w14:paraId="6490B24C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  <w:tr w:rsidR="006041EC" w:rsidRPr="002B5EE8" w14:paraId="7BA8E9EB" w14:textId="77777777" w:rsidTr="000B1210">
        <w:trPr>
          <w:trHeight w:val="2221"/>
        </w:trPr>
        <w:tc>
          <w:tcPr>
            <w:tcW w:w="459" w:type="dxa"/>
          </w:tcPr>
          <w:p w14:paraId="2508410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063" w:type="dxa"/>
          </w:tcPr>
          <w:p w14:paraId="48B40B60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14:paraId="3E254D8C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</w:tcPr>
          <w:p w14:paraId="381CCE60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До 1 апреля 2025 года</w:t>
            </w:r>
          </w:p>
        </w:tc>
        <w:tc>
          <w:tcPr>
            <w:tcW w:w="2849" w:type="dxa"/>
          </w:tcPr>
          <w:p w14:paraId="4425FC89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08" w:type="dxa"/>
          </w:tcPr>
          <w:p w14:paraId="0055EE70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  <w:tr w:rsidR="006041EC" w:rsidRPr="002B5EE8" w14:paraId="7C7CE158" w14:textId="77777777" w:rsidTr="000B1210">
        <w:trPr>
          <w:trHeight w:val="3339"/>
        </w:trPr>
        <w:tc>
          <w:tcPr>
            <w:tcW w:w="459" w:type="dxa"/>
          </w:tcPr>
          <w:p w14:paraId="1A22D529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063" w:type="dxa"/>
          </w:tcPr>
          <w:p w14:paraId="45584044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627" w:type="dxa"/>
          </w:tcPr>
          <w:p w14:paraId="65A63749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34A3C968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14:paraId="0A72651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</w:tcPr>
          <w:p w14:paraId="619DC434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  <w:tr w:rsidR="006041EC" w:rsidRPr="002B5EE8" w14:paraId="354EE0E2" w14:textId="77777777" w:rsidTr="000B1210">
        <w:trPr>
          <w:trHeight w:val="4458"/>
        </w:trPr>
        <w:tc>
          <w:tcPr>
            <w:tcW w:w="459" w:type="dxa"/>
          </w:tcPr>
          <w:p w14:paraId="5DDDE0B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063" w:type="dxa"/>
          </w:tcPr>
          <w:p w14:paraId="24035834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Консультирование:</w:t>
            </w:r>
          </w:p>
          <w:p w14:paraId="2F5B7671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62DBA5B0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704C92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14:paraId="32364BA4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009ACF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- на личном приеме</w:t>
            </w:r>
          </w:p>
          <w:p w14:paraId="7A3FD4EE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14:paraId="7DD8B794" w14:textId="77777777" w:rsidR="006041EC" w:rsidRPr="000B1210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E079230" w14:textId="5EF6971B" w:rsidR="006041EC" w:rsidRPr="000B1210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 xml:space="preserve">- в ходе проведения профилактических визитов, </w:t>
            </w:r>
            <w:r w:rsidR="000B1210" w:rsidRPr="000B1210">
              <w:rPr>
                <w:rFonts w:ascii="Times New Roman" w:eastAsia="Calibri" w:hAnsi="Times New Roman" w:cs="Times New Roman"/>
              </w:rPr>
              <w:t>контрольных мероприятий</w:t>
            </w:r>
            <w:r w:rsidRPr="000B1210">
              <w:rPr>
                <w:rFonts w:ascii="Times New Roman" w:eastAsia="Calibri" w:hAnsi="Times New Roman" w:cs="Times New Roman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14:paraId="03802B29" w14:textId="77777777" w:rsidR="006041EC" w:rsidRPr="000B1210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70470C6" w14:textId="77777777" w:rsidR="006041EC" w:rsidRPr="000B1210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30675491" w14:textId="77777777" w:rsidR="006041EC" w:rsidRPr="000B1210" w:rsidRDefault="006041EC" w:rsidP="000B1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7240317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0B97369E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7" w:type="dxa"/>
          </w:tcPr>
          <w:p w14:paraId="4316F3C9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62933C2F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 часы работы контрольного органа</w:t>
            </w:r>
          </w:p>
          <w:p w14:paraId="4578D2EE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3368D3C9" w14:textId="77777777" w:rsidR="000B1210" w:rsidRDefault="000B1210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D8C634" w14:textId="77777777" w:rsidR="000B1210" w:rsidRDefault="000B1210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42C58F" w14:textId="77777777" w:rsidR="000B1210" w:rsidRDefault="000B1210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AA00F7" w14:textId="1C1CEB13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при наличии технической возможности</w:t>
            </w:r>
          </w:p>
          <w:p w14:paraId="1DF3BC3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2A88D543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 xml:space="preserve">в соответствии с графиком работы Администрации </w:t>
            </w:r>
          </w:p>
          <w:p w14:paraId="7B2C18E1" w14:textId="77777777" w:rsidR="000B1210" w:rsidRDefault="000B1210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583B91B0" w14:textId="20A1D319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  <w:p w14:paraId="0050FFCF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3E7246C5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4111D19A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1210">
              <w:rPr>
                <w:rFonts w:ascii="Times New Roman" w:eastAsia="Calibri" w:hAnsi="Times New Roman" w:cs="Times New Roman"/>
                <w:iCs/>
              </w:rPr>
              <w:t xml:space="preserve">ежегодно, </w:t>
            </w:r>
            <w:r w:rsidRPr="000B1210">
              <w:rPr>
                <w:rFonts w:ascii="Times New Roman" w:eastAsia="Calibri" w:hAnsi="Times New Roman" w:cs="Times New Roman"/>
                <w:bCs/>
              </w:rPr>
              <w:t>до 1 апреля года, следующем за отчетным годом</w:t>
            </w:r>
          </w:p>
          <w:p w14:paraId="63A2E798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7B9BAC93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015FA7E6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  <w:p w14:paraId="4DB8CE3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14:paraId="45CCD007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408" w:type="dxa"/>
          </w:tcPr>
          <w:p w14:paraId="5D5587F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  <w:tr w:rsidR="006041EC" w:rsidRPr="002B5EE8" w14:paraId="4FF7AC48" w14:textId="77777777" w:rsidTr="000B1210">
        <w:trPr>
          <w:trHeight w:val="1390"/>
        </w:trPr>
        <w:tc>
          <w:tcPr>
            <w:tcW w:w="459" w:type="dxa"/>
          </w:tcPr>
          <w:p w14:paraId="2E160E20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063" w:type="dxa"/>
          </w:tcPr>
          <w:p w14:paraId="1F28BB2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1627" w:type="dxa"/>
          </w:tcPr>
          <w:p w14:paraId="78A1166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 течение 2025 года</w:t>
            </w:r>
          </w:p>
          <w:p w14:paraId="56E5F0BE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2BE1BE3F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0E4C4471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 течение года со дня начала деятельности</w:t>
            </w:r>
          </w:p>
          <w:p w14:paraId="1EEA5674" w14:textId="77777777" w:rsidR="006041EC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019C8D05" w14:textId="77777777" w:rsidR="000B1210" w:rsidRDefault="000B1210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14:paraId="7616CD30" w14:textId="77777777" w:rsidR="000B1210" w:rsidRPr="000B1210" w:rsidRDefault="000B1210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036AD9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 течение года по мере поступления заявлений</w:t>
            </w:r>
          </w:p>
          <w:p w14:paraId="6126BDFA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531409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346C8B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34F114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116B47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B4D428E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FF3187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BF01E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677AF3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4BEE1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7B8838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62594F3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D0087E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E297E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В течение 2025 года</w:t>
            </w:r>
          </w:p>
          <w:p w14:paraId="54EB23E2" w14:textId="77777777" w:rsidR="006041EC" w:rsidRPr="000B1210" w:rsidRDefault="006041EC" w:rsidP="000B12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</w:tcPr>
          <w:p w14:paraId="5BCC6533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1. Осуществление профилактического визита в отношении контролируемых лиц, определенных приложением №2</w:t>
            </w:r>
          </w:p>
          <w:p w14:paraId="4B533609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2. Осуществление обязательного профилактического визита в отношении контролируемых лиц, приступивших к осуществлению деятельности</w:t>
            </w:r>
          </w:p>
          <w:p w14:paraId="524CCF4F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3. 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</w:t>
            </w:r>
          </w:p>
          <w:p w14:paraId="67B9F3F2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Информация о проведении профилактического визита дополняется в приложение N 2</w:t>
            </w:r>
          </w:p>
        </w:tc>
        <w:tc>
          <w:tcPr>
            <w:tcW w:w="1408" w:type="dxa"/>
          </w:tcPr>
          <w:p w14:paraId="63D07A7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  <w:tr w:rsidR="006041EC" w:rsidRPr="002B5EE8" w14:paraId="1F40EE3D" w14:textId="77777777" w:rsidTr="000B1210">
        <w:trPr>
          <w:trHeight w:val="2493"/>
        </w:trPr>
        <w:tc>
          <w:tcPr>
            <w:tcW w:w="459" w:type="dxa"/>
          </w:tcPr>
          <w:p w14:paraId="6B9919B3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063" w:type="dxa"/>
          </w:tcPr>
          <w:p w14:paraId="6B7BD62B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627" w:type="dxa"/>
          </w:tcPr>
          <w:p w14:paraId="08D4306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849" w:type="dxa"/>
          </w:tcPr>
          <w:p w14:paraId="4F52825D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408" w:type="dxa"/>
          </w:tcPr>
          <w:p w14:paraId="2B600F8A" w14:textId="77777777" w:rsidR="006041EC" w:rsidRPr="000B1210" w:rsidRDefault="006041EC" w:rsidP="000B1210">
            <w:pPr>
              <w:spacing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B1210">
              <w:rPr>
                <w:rFonts w:ascii="Times New Roman" w:eastAsia="Calibri" w:hAnsi="Times New Roman" w:cs="Times New Roman"/>
              </w:rPr>
              <w:t>Специалист по муниципальному жилищному контролю администрации</w:t>
            </w:r>
          </w:p>
        </w:tc>
      </w:tr>
    </w:tbl>
    <w:p w14:paraId="0D1267FF" w14:textId="77777777" w:rsidR="006041EC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C5E42" w14:textId="77777777" w:rsidR="006041EC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8BB6E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18AB404F" w14:textId="77777777" w:rsidR="006041EC" w:rsidRPr="002B5EE8" w:rsidRDefault="006041EC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CEC5E7" w14:textId="77777777" w:rsidR="006041EC" w:rsidRPr="002B5EE8" w:rsidRDefault="006041EC" w:rsidP="000B121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5EE8">
        <w:rPr>
          <w:rFonts w:ascii="Calibri" w:eastAsia="Calibri" w:hAnsi="Calibri" w:cs="Times New Roman"/>
          <w:i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977"/>
        <w:gridCol w:w="2584"/>
      </w:tblGrid>
      <w:tr w:rsidR="006041EC" w:rsidRPr="002B5EE8" w14:paraId="4115EE4B" w14:textId="77777777" w:rsidTr="000B1210">
        <w:trPr>
          <w:trHeight w:val="759"/>
        </w:trPr>
        <w:tc>
          <w:tcPr>
            <w:tcW w:w="846" w:type="dxa"/>
          </w:tcPr>
          <w:p w14:paraId="238B1965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77" w:type="dxa"/>
          </w:tcPr>
          <w:p w14:paraId="2A59EF84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584" w:type="dxa"/>
          </w:tcPr>
          <w:p w14:paraId="57465ACA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041EC" w:rsidRPr="002B5EE8" w14:paraId="31B883DE" w14:textId="77777777" w:rsidTr="000B1210">
        <w:trPr>
          <w:trHeight w:val="1123"/>
        </w:trPr>
        <w:tc>
          <w:tcPr>
            <w:tcW w:w="846" w:type="dxa"/>
          </w:tcPr>
          <w:p w14:paraId="01639734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14:paraId="64AC6534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584" w:type="dxa"/>
          </w:tcPr>
          <w:p w14:paraId="44B36863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6041EC" w:rsidRPr="002B5EE8" w14:paraId="4C097249" w14:textId="77777777" w:rsidTr="000B1210">
        <w:trPr>
          <w:trHeight w:val="1519"/>
        </w:trPr>
        <w:tc>
          <w:tcPr>
            <w:tcW w:w="846" w:type="dxa"/>
          </w:tcPr>
          <w:p w14:paraId="0EA7B6B1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14:paraId="53184C03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584" w:type="dxa"/>
          </w:tcPr>
          <w:p w14:paraId="6628F344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10%</w:t>
            </w:r>
          </w:p>
        </w:tc>
      </w:tr>
      <w:tr w:rsidR="006041EC" w:rsidRPr="002B5EE8" w14:paraId="432E726E" w14:textId="77777777" w:rsidTr="000B1210">
        <w:trPr>
          <w:trHeight w:val="1123"/>
        </w:trPr>
        <w:tc>
          <w:tcPr>
            <w:tcW w:w="846" w:type="dxa"/>
          </w:tcPr>
          <w:p w14:paraId="21723AA8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14:paraId="3640F43B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584" w:type="dxa"/>
          </w:tcPr>
          <w:p w14:paraId="74E653EC" w14:textId="77777777" w:rsidR="006041EC" w:rsidRPr="002B5EE8" w:rsidRDefault="006041EC" w:rsidP="000B12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EE8">
              <w:rPr>
                <w:rFonts w:ascii="Times New Roman" w:eastAsia="Calibri" w:hAnsi="Times New Roman" w:cs="Times New Roman"/>
                <w:sz w:val="24"/>
                <w:szCs w:val="24"/>
              </w:rPr>
              <w:t>90 %</w:t>
            </w:r>
          </w:p>
        </w:tc>
      </w:tr>
    </w:tbl>
    <w:p w14:paraId="435447FE" w14:textId="77777777" w:rsidR="000B1210" w:rsidRDefault="000B1210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E8BCCD" w14:textId="1D5AE6C8" w:rsidR="006041EC" w:rsidRPr="002B5EE8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Мичуринского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на 2025 год. </w:t>
      </w:r>
    </w:p>
    <w:p w14:paraId="669FF251" w14:textId="12C8BE07" w:rsidR="006041EC" w:rsidRPr="00EE6783" w:rsidRDefault="006041EC" w:rsidP="000B12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Мичуринского</w:t>
      </w:r>
      <w:r w:rsidRPr="002B5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2025 год.</w:t>
      </w:r>
    </w:p>
    <w:p w14:paraId="211FF235" w14:textId="77777777" w:rsidR="006041EC" w:rsidRDefault="006041EC" w:rsidP="000B1210">
      <w:pPr>
        <w:pStyle w:val="ad"/>
        <w:ind w:firstLine="0"/>
        <w:jc w:val="center"/>
      </w:pPr>
    </w:p>
    <w:p w14:paraId="2982B94E" w14:textId="77777777" w:rsidR="006041EC" w:rsidRPr="00245267" w:rsidRDefault="006041EC" w:rsidP="000B1210">
      <w:pPr>
        <w:pStyle w:val="ad"/>
      </w:pPr>
    </w:p>
    <w:p w14:paraId="1C21D158" w14:textId="77777777" w:rsidR="000B1210" w:rsidRDefault="000B12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0C3AA6" w14:textId="135AC41A" w:rsidR="000B1210" w:rsidRPr="000B1210" w:rsidRDefault="000B1210" w:rsidP="000B12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1432EBB1" w14:textId="77777777" w:rsidR="000B1210" w:rsidRPr="000B1210" w:rsidRDefault="000B1210" w:rsidP="000B12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14:paraId="0088A2AC" w14:textId="77777777" w:rsidR="000B1210" w:rsidRPr="000B1210" w:rsidRDefault="000B1210" w:rsidP="000B12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4AE6" w14:textId="77777777" w:rsidR="000B1210" w:rsidRPr="000B1210" w:rsidRDefault="000B1210" w:rsidP="000B1210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14:paraId="55A705B0" w14:textId="77777777" w:rsidR="000B1210" w:rsidRPr="000B1210" w:rsidRDefault="000B1210" w:rsidP="000B12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1210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контролируемых лиц для проведения профилактических визитов в 2025 году</w:t>
      </w:r>
    </w:p>
    <w:p w14:paraId="33A74D16" w14:textId="77777777" w:rsidR="006041EC" w:rsidRPr="00245267" w:rsidRDefault="006041EC" w:rsidP="000B1210">
      <w:pPr>
        <w:pStyle w:val="ad"/>
      </w:pPr>
    </w:p>
    <w:tbl>
      <w:tblPr>
        <w:tblW w:w="919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1047"/>
        <w:gridCol w:w="1714"/>
        <w:gridCol w:w="791"/>
        <w:gridCol w:w="1303"/>
        <w:gridCol w:w="1149"/>
        <w:gridCol w:w="1201"/>
        <w:gridCol w:w="1250"/>
      </w:tblGrid>
      <w:tr w:rsidR="006041EC" w:rsidRPr="00245267" w14:paraId="5CE23B6A" w14:textId="77777777" w:rsidTr="000B1210">
        <w:trPr>
          <w:trHeight w:val="2418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45274D" w14:textId="77777777" w:rsidR="006041EC" w:rsidRPr="00245267" w:rsidRDefault="006041EC" w:rsidP="000B1210">
            <w:pPr>
              <w:pStyle w:val="ad"/>
            </w:pPr>
          </w:p>
          <w:p w14:paraId="5C01746F" w14:textId="77777777" w:rsidR="006041EC" w:rsidRPr="00245267" w:rsidRDefault="006041EC" w:rsidP="000B1210">
            <w:pPr>
              <w:pStyle w:val="ad"/>
            </w:pPr>
          </w:p>
          <w:p w14:paraId="3EDCC0C2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>N п/п</w:t>
            </w:r>
          </w:p>
        </w:tc>
        <w:tc>
          <w:tcPr>
            <w:tcW w:w="104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BA4AD" w14:textId="77777777" w:rsidR="006041EC" w:rsidRPr="00245267" w:rsidRDefault="006041EC" w:rsidP="000B1210">
            <w:pPr>
              <w:pStyle w:val="ad"/>
            </w:pPr>
          </w:p>
          <w:p w14:paraId="46493E4A" w14:textId="77777777" w:rsidR="006041EC" w:rsidRPr="00245267" w:rsidRDefault="006041EC" w:rsidP="000B1210">
            <w:pPr>
              <w:pStyle w:val="ad"/>
            </w:pPr>
          </w:p>
          <w:p w14:paraId="02E774A1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>Объект контроля</w:t>
            </w:r>
          </w:p>
        </w:tc>
        <w:tc>
          <w:tcPr>
            <w:tcW w:w="171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1EC81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 xml:space="preserve">Фактическое место осуществления деятельности (место проведения </w:t>
            </w:r>
            <w:proofErr w:type="spellStart"/>
            <w:r w:rsidRPr="00245267">
              <w:t>профилактическог</w:t>
            </w:r>
            <w:proofErr w:type="spellEnd"/>
            <w:r w:rsidRPr="00245267">
              <w:t xml:space="preserve"> </w:t>
            </w:r>
            <w:proofErr w:type="gramStart"/>
            <w:r w:rsidRPr="00245267">
              <w:t>о визита</w:t>
            </w:r>
            <w:proofErr w:type="gramEnd"/>
            <w:r w:rsidRPr="00245267">
              <w:t>)</w:t>
            </w:r>
          </w:p>
        </w:tc>
        <w:tc>
          <w:tcPr>
            <w:tcW w:w="79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8AC432" w14:textId="77777777" w:rsidR="006041EC" w:rsidRPr="00245267" w:rsidRDefault="006041EC" w:rsidP="000B1210">
            <w:pPr>
              <w:pStyle w:val="ad"/>
            </w:pPr>
          </w:p>
          <w:p w14:paraId="63956687" w14:textId="77777777" w:rsidR="006041EC" w:rsidRPr="00245267" w:rsidRDefault="006041EC" w:rsidP="000B1210">
            <w:pPr>
              <w:pStyle w:val="ad"/>
            </w:pPr>
          </w:p>
          <w:p w14:paraId="758B38B8" w14:textId="77777777" w:rsidR="006041EC" w:rsidRPr="00245267" w:rsidRDefault="006041EC" w:rsidP="000B1210">
            <w:pPr>
              <w:pStyle w:val="ad"/>
            </w:pPr>
          </w:p>
          <w:p w14:paraId="790BF41C" w14:textId="77777777" w:rsidR="006041EC" w:rsidRPr="00245267" w:rsidRDefault="006041EC" w:rsidP="000B1210">
            <w:pPr>
              <w:pStyle w:val="ae"/>
              <w:ind w:firstLine="113"/>
            </w:pPr>
            <w:r w:rsidRPr="00245267">
              <w:t>ИНН</w:t>
            </w:r>
          </w:p>
        </w:tc>
        <w:tc>
          <w:tcPr>
            <w:tcW w:w="130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A0CD62" w14:textId="77777777" w:rsidR="006041EC" w:rsidRPr="00245267" w:rsidRDefault="006041EC" w:rsidP="000B1210">
            <w:pPr>
              <w:pStyle w:val="ad"/>
            </w:pPr>
          </w:p>
          <w:p w14:paraId="65F40224" w14:textId="77777777" w:rsidR="006041EC" w:rsidRPr="00245267" w:rsidRDefault="006041EC" w:rsidP="000B1210">
            <w:pPr>
              <w:pStyle w:val="ad"/>
            </w:pPr>
          </w:p>
          <w:p w14:paraId="5D02FB3D" w14:textId="77777777" w:rsidR="006041EC" w:rsidRPr="00245267" w:rsidRDefault="006041EC" w:rsidP="000B1210">
            <w:pPr>
              <w:pStyle w:val="ad"/>
              <w:ind w:firstLine="283"/>
              <w:jc w:val="center"/>
            </w:pPr>
            <w:r w:rsidRPr="00245267">
              <w:t>Основания для проведения</w:t>
            </w:r>
          </w:p>
        </w:tc>
        <w:tc>
          <w:tcPr>
            <w:tcW w:w="114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D3D08" w14:textId="77777777" w:rsidR="006041EC" w:rsidRPr="00245267" w:rsidRDefault="006041EC" w:rsidP="000B1210">
            <w:pPr>
              <w:pStyle w:val="ad"/>
            </w:pPr>
          </w:p>
          <w:p w14:paraId="37CB4EFF" w14:textId="77777777" w:rsidR="006041EC" w:rsidRPr="00245267" w:rsidRDefault="006041EC" w:rsidP="000B1210">
            <w:pPr>
              <w:pStyle w:val="ad"/>
            </w:pPr>
          </w:p>
          <w:p w14:paraId="0DA2667B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>Категория риска</w:t>
            </w:r>
          </w:p>
        </w:tc>
        <w:tc>
          <w:tcPr>
            <w:tcW w:w="120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227FE" w14:textId="77777777" w:rsidR="006041EC" w:rsidRPr="00245267" w:rsidRDefault="006041EC" w:rsidP="000B1210">
            <w:pPr>
              <w:pStyle w:val="ad"/>
            </w:pPr>
          </w:p>
          <w:p w14:paraId="470514AA" w14:textId="77777777" w:rsidR="006041EC" w:rsidRPr="00245267" w:rsidRDefault="006041EC" w:rsidP="000B1210">
            <w:pPr>
              <w:pStyle w:val="ad"/>
            </w:pPr>
          </w:p>
          <w:p w14:paraId="28F68BFC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>Период проведения</w:t>
            </w:r>
          </w:p>
        </w:tc>
        <w:tc>
          <w:tcPr>
            <w:tcW w:w="125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50E4D" w14:textId="77777777" w:rsidR="006041EC" w:rsidRPr="00245267" w:rsidRDefault="006041EC" w:rsidP="000B1210">
            <w:pPr>
              <w:pStyle w:val="ad"/>
            </w:pPr>
          </w:p>
          <w:p w14:paraId="60E26BF3" w14:textId="77777777" w:rsidR="006041EC" w:rsidRPr="00245267" w:rsidRDefault="006041EC" w:rsidP="000B1210">
            <w:pPr>
              <w:pStyle w:val="ad"/>
            </w:pPr>
          </w:p>
          <w:p w14:paraId="69542A28" w14:textId="77777777" w:rsidR="006041EC" w:rsidRPr="00245267" w:rsidRDefault="006041EC" w:rsidP="000B1210">
            <w:pPr>
              <w:pStyle w:val="ad"/>
              <w:ind w:firstLine="113"/>
              <w:jc w:val="center"/>
            </w:pPr>
            <w:r w:rsidRPr="00245267">
              <w:t>Ответственный исполнитель</w:t>
            </w:r>
          </w:p>
        </w:tc>
      </w:tr>
      <w:tr w:rsidR="00D814AB" w:rsidRPr="00245267" w14:paraId="144F5B08" w14:textId="77777777" w:rsidTr="000B1210">
        <w:trPr>
          <w:trHeight w:val="311"/>
        </w:trPr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E2726" w14:textId="77777777" w:rsidR="00D814AB" w:rsidRPr="00245267" w:rsidRDefault="00D814AB" w:rsidP="000B1210">
            <w:pPr>
              <w:pStyle w:val="ae"/>
              <w:ind w:firstLine="283"/>
            </w:pPr>
            <w:r w:rsidRPr="00245267">
              <w:t>1.</w:t>
            </w:r>
          </w:p>
        </w:tc>
        <w:tc>
          <w:tcPr>
            <w:tcW w:w="1047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0CE3F" w14:textId="18C6E4A3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171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52107" w14:textId="213DF6DE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79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0D0BA" w14:textId="61345838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130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4387B" w14:textId="302957AD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114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7700B" w14:textId="3D1560F0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12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23A08" w14:textId="7834AFE6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  <w:tc>
          <w:tcPr>
            <w:tcW w:w="125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8E4D3" w14:textId="184D0D28" w:rsidR="00D814AB" w:rsidRPr="00245267" w:rsidRDefault="00D814AB" w:rsidP="000B1210">
            <w:pPr>
              <w:pStyle w:val="ad"/>
            </w:pPr>
            <w:r w:rsidRPr="0008325B">
              <w:t>-</w:t>
            </w:r>
          </w:p>
        </w:tc>
      </w:tr>
    </w:tbl>
    <w:p w14:paraId="436404BE" w14:textId="77777777" w:rsidR="006041EC" w:rsidRDefault="006041EC" w:rsidP="000B1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5F1E8" w14:textId="77777777" w:rsidR="00011ABA" w:rsidRPr="00E4572D" w:rsidRDefault="00011ABA" w:rsidP="000B12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sectPr w:rsidR="00011ABA" w:rsidRPr="00E4572D" w:rsidSect="00D814AB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D21D" w14:textId="77777777" w:rsidR="0017020F" w:rsidRDefault="0017020F" w:rsidP="00C0536C">
      <w:pPr>
        <w:spacing w:after="0" w:line="240" w:lineRule="auto"/>
      </w:pPr>
      <w:r>
        <w:separator/>
      </w:r>
    </w:p>
  </w:endnote>
  <w:endnote w:type="continuationSeparator" w:id="0">
    <w:p w14:paraId="5D15936D" w14:textId="77777777" w:rsidR="0017020F" w:rsidRDefault="0017020F" w:rsidP="00C0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8363" w14:textId="77777777" w:rsidR="0017020F" w:rsidRDefault="0017020F" w:rsidP="00C0536C">
      <w:pPr>
        <w:spacing w:after="0" w:line="240" w:lineRule="auto"/>
      </w:pPr>
      <w:r>
        <w:separator/>
      </w:r>
    </w:p>
  </w:footnote>
  <w:footnote w:type="continuationSeparator" w:id="0">
    <w:p w14:paraId="0576EEFE" w14:textId="77777777" w:rsidR="0017020F" w:rsidRDefault="0017020F" w:rsidP="00C0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" w15:restartNumberingAfterBreak="0">
    <w:nsid w:val="492A259C"/>
    <w:multiLevelType w:val="hybridMultilevel"/>
    <w:tmpl w:val="FF260A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 w16cid:durableId="1531920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564991">
    <w:abstractNumId w:val="0"/>
  </w:num>
  <w:num w:numId="3" w16cid:durableId="1584071835">
    <w:abstractNumId w:val="1"/>
  </w:num>
  <w:num w:numId="4" w16cid:durableId="98293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6C"/>
    <w:rsid w:val="00011ABA"/>
    <w:rsid w:val="000A1507"/>
    <w:rsid w:val="000A40B7"/>
    <w:rsid w:val="000B1210"/>
    <w:rsid w:val="000F1F5D"/>
    <w:rsid w:val="001201BD"/>
    <w:rsid w:val="0017020F"/>
    <w:rsid w:val="00280458"/>
    <w:rsid w:val="00374103"/>
    <w:rsid w:val="003D3E44"/>
    <w:rsid w:val="00403E32"/>
    <w:rsid w:val="00423A3C"/>
    <w:rsid w:val="00430677"/>
    <w:rsid w:val="004B44B6"/>
    <w:rsid w:val="004B50F3"/>
    <w:rsid w:val="004D4DA1"/>
    <w:rsid w:val="00517FC7"/>
    <w:rsid w:val="00525F30"/>
    <w:rsid w:val="0053645F"/>
    <w:rsid w:val="005645DA"/>
    <w:rsid w:val="00573B71"/>
    <w:rsid w:val="005F39AB"/>
    <w:rsid w:val="006041EC"/>
    <w:rsid w:val="00617706"/>
    <w:rsid w:val="00621F49"/>
    <w:rsid w:val="006267C7"/>
    <w:rsid w:val="00714907"/>
    <w:rsid w:val="00732EDE"/>
    <w:rsid w:val="0076130A"/>
    <w:rsid w:val="007E008C"/>
    <w:rsid w:val="00822EE3"/>
    <w:rsid w:val="00931ED7"/>
    <w:rsid w:val="009411BE"/>
    <w:rsid w:val="00952F4E"/>
    <w:rsid w:val="00963F25"/>
    <w:rsid w:val="00965E93"/>
    <w:rsid w:val="00A209E2"/>
    <w:rsid w:val="00A25EC4"/>
    <w:rsid w:val="00A63CF3"/>
    <w:rsid w:val="00A95F3E"/>
    <w:rsid w:val="00AC5D5E"/>
    <w:rsid w:val="00B413C4"/>
    <w:rsid w:val="00C04E3C"/>
    <w:rsid w:val="00C0536C"/>
    <w:rsid w:val="00C27654"/>
    <w:rsid w:val="00C57CFA"/>
    <w:rsid w:val="00CC75E8"/>
    <w:rsid w:val="00CD04A5"/>
    <w:rsid w:val="00CE266A"/>
    <w:rsid w:val="00D73B58"/>
    <w:rsid w:val="00D77F5E"/>
    <w:rsid w:val="00D814AB"/>
    <w:rsid w:val="00E02B2E"/>
    <w:rsid w:val="00E331B6"/>
    <w:rsid w:val="00E34292"/>
    <w:rsid w:val="00E4572D"/>
    <w:rsid w:val="00EB12F9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121"/>
  <w15:docId w15:val="{28990C6E-C3F2-49D3-B5D9-8480F5E9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5E"/>
  </w:style>
  <w:style w:type="paragraph" w:styleId="1">
    <w:name w:val="heading 1"/>
    <w:basedOn w:val="a"/>
    <w:next w:val="a"/>
    <w:link w:val="10"/>
    <w:uiPriority w:val="99"/>
    <w:qFormat/>
    <w:rsid w:val="00011AB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36C"/>
    <w:rPr>
      <w:b/>
      <w:bCs/>
    </w:rPr>
  </w:style>
  <w:style w:type="paragraph" w:customStyle="1" w:styleId="consplusnormal">
    <w:name w:val="consplusnormal"/>
    <w:basedOn w:val="a"/>
    <w:rsid w:val="00C0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536C"/>
  </w:style>
  <w:style w:type="paragraph" w:styleId="a9">
    <w:name w:val="footer"/>
    <w:basedOn w:val="a"/>
    <w:link w:val="aa"/>
    <w:uiPriority w:val="99"/>
    <w:semiHidden/>
    <w:unhideWhenUsed/>
    <w:rsid w:val="00C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36C"/>
  </w:style>
  <w:style w:type="character" w:customStyle="1" w:styleId="10">
    <w:name w:val="Заголовок 1 Знак"/>
    <w:basedOn w:val="a0"/>
    <w:link w:val="1"/>
    <w:uiPriority w:val="99"/>
    <w:rsid w:val="00011AB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011ABA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011ABA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011ABA"/>
    <w:rPr>
      <w:rFonts w:cs="Times New Roman"/>
      <w:i/>
    </w:rPr>
  </w:style>
  <w:style w:type="paragraph" w:customStyle="1" w:styleId="ad">
    <w:name w:val="Нормальный"/>
    <w:basedOn w:val="a"/>
    <w:rsid w:val="00AC5D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Прижатый влево"/>
    <w:basedOn w:val="a"/>
    <w:rsid w:val="00AC5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6041EC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0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3DB2-8286-48CD-B07A-A67B56D9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6</cp:revision>
  <cp:lastPrinted>2024-11-19T07:46:00Z</cp:lastPrinted>
  <dcterms:created xsi:type="dcterms:W3CDTF">2025-09-02T06:20:00Z</dcterms:created>
  <dcterms:modified xsi:type="dcterms:W3CDTF">2025-09-17T13:28:00Z</dcterms:modified>
</cp:coreProperties>
</file>